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37DB" w14:textId="09E50FCC" w:rsidR="000247D6" w:rsidRPr="00B20562" w:rsidRDefault="009120B1" w:rsidP="00454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733529"/>
      <w:r w:rsidRPr="00B20562">
        <w:rPr>
          <w:rFonts w:ascii="Times New Roman" w:hAnsi="Times New Roman" w:cs="Times New Roman"/>
          <w:b/>
          <w:bCs/>
          <w:sz w:val="24"/>
          <w:szCs w:val="24"/>
        </w:rPr>
        <w:t>OBRAZLOŽENJE OPĆEG DIJELA GODIŠNJEG IZVJEŠTAJA O IZVRŠENJU FINANCIJSKOG PLANA JAVNE USTANOVE „NACIONALNI PARK BRIJUNI“ ZA 202</w:t>
      </w:r>
      <w:r w:rsidR="007B0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0562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51E45805" w14:textId="768C951A" w:rsidR="00B56621" w:rsidRPr="00B20562" w:rsidRDefault="00367394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t>Financijski plan 202</w:t>
      </w:r>
      <w:r w:rsidR="007B0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05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114CE0" w14:textId="6C83F2E7" w:rsidR="00367394" w:rsidRPr="00B20562" w:rsidRDefault="0036739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Financijski plan Javne ustanove „Nacionalni park Brijuni“ </w:t>
      </w:r>
      <w:r w:rsidR="00C52B61">
        <w:rPr>
          <w:rFonts w:ascii="Times New Roman" w:hAnsi="Times New Roman" w:cs="Times New Roman"/>
          <w:sz w:val="24"/>
          <w:szCs w:val="24"/>
        </w:rPr>
        <w:t>izvršen</w:t>
      </w:r>
      <w:r w:rsidRPr="00B20562">
        <w:rPr>
          <w:rFonts w:ascii="Times New Roman" w:hAnsi="Times New Roman" w:cs="Times New Roman"/>
          <w:sz w:val="24"/>
          <w:szCs w:val="24"/>
        </w:rPr>
        <w:t xml:space="preserve"> je </w:t>
      </w:r>
      <w:r w:rsidR="00831272">
        <w:rPr>
          <w:rFonts w:ascii="Times New Roman" w:hAnsi="Times New Roman" w:cs="Times New Roman"/>
          <w:sz w:val="24"/>
          <w:szCs w:val="24"/>
        </w:rPr>
        <w:t xml:space="preserve">prema gotovinskom načelu, </w:t>
      </w:r>
      <w:r w:rsidRPr="00B20562">
        <w:rPr>
          <w:rFonts w:ascii="Times New Roman" w:hAnsi="Times New Roman" w:cs="Times New Roman"/>
          <w:sz w:val="24"/>
          <w:szCs w:val="24"/>
        </w:rPr>
        <w:t>kako slijedi:</w:t>
      </w:r>
    </w:p>
    <w:p w14:paraId="10296B13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245A2" w14:textId="77777777" w:rsidR="00367394" w:rsidRPr="00B20562" w:rsidRDefault="00367394" w:rsidP="00367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15864C5E" w14:textId="372D8583" w:rsidR="00367394" w:rsidRPr="00B20562" w:rsidRDefault="00367394" w:rsidP="00367394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1</w:t>
      </w:r>
      <w:r w:rsidRPr="00B20562">
        <w:rPr>
          <w:rFonts w:ascii="Times New Roman" w:hAnsi="Times New Roman" w:cs="Times New Roman"/>
          <w:sz w:val="24"/>
          <w:szCs w:val="24"/>
        </w:rPr>
        <w:t>.Prihodi prema ekonomskoj klasifikaciji</w:t>
      </w:r>
    </w:p>
    <w:p w14:paraId="6814E284" w14:textId="7C7DE8F9" w:rsidR="004C7592" w:rsidRPr="00B20562" w:rsidRDefault="004C759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4C7592">
        <w:rPr>
          <w:noProof/>
        </w:rPr>
        <w:drawing>
          <wp:inline distT="0" distB="0" distL="0" distR="0" wp14:anchorId="7AF4178D" wp14:editId="51C8C62E">
            <wp:extent cx="5760720" cy="1425575"/>
            <wp:effectExtent l="0" t="0" r="0" b="3175"/>
            <wp:docPr id="121033793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6182" w14:textId="59831903" w:rsidR="00434692" w:rsidRPr="00B20562" w:rsidRDefault="0043469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Javna ustanova Nacionalni park Brijuni ostvarila je </w:t>
      </w:r>
      <w:r w:rsidR="00CA79EE" w:rsidRPr="00B20562">
        <w:rPr>
          <w:rFonts w:ascii="Times New Roman" w:hAnsi="Times New Roman" w:cs="Times New Roman"/>
          <w:sz w:val="24"/>
          <w:szCs w:val="24"/>
        </w:rPr>
        <w:t>u 202</w:t>
      </w:r>
      <w:r w:rsidR="002B63C4">
        <w:rPr>
          <w:rFonts w:ascii="Times New Roman" w:hAnsi="Times New Roman" w:cs="Times New Roman"/>
          <w:sz w:val="24"/>
          <w:szCs w:val="24"/>
        </w:rPr>
        <w:t>4</w:t>
      </w:r>
      <w:r w:rsidR="00CA79EE" w:rsidRPr="00B20562">
        <w:rPr>
          <w:rFonts w:ascii="Times New Roman" w:hAnsi="Times New Roman" w:cs="Times New Roman"/>
          <w:sz w:val="24"/>
          <w:szCs w:val="24"/>
        </w:rPr>
        <w:t>. godin</w:t>
      </w:r>
      <w:r w:rsidR="00936F44">
        <w:rPr>
          <w:rFonts w:ascii="Times New Roman" w:hAnsi="Times New Roman" w:cs="Times New Roman"/>
          <w:sz w:val="24"/>
          <w:szCs w:val="24"/>
        </w:rPr>
        <w:t>i</w:t>
      </w:r>
      <w:r w:rsidR="00CA79EE" w:rsidRPr="00B20562">
        <w:rPr>
          <w:rFonts w:ascii="Times New Roman" w:hAnsi="Times New Roman" w:cs="Times New Roman"/>
          <w:sz w:val="24"/>
          <w:szCs w:val="24"/>
        </w:rPr>
        <w:t xml:space="preserve"> ukupne prihode u iznosu  </w:t>
      </w:r>
      <w:r w:rsidR="00936F44">
        <w:rPr>
          <w:rFonts w:ascii="Times New Roman" w:hAnsi="Times New Roman" w:cs="Times New Roman"/>
          <w:sz w:val="24"/>
          <w:szCs w:val="24"/>
        </w:rPr>
        <w:t>1</w:t>
      </w:r>
      <w:r w:rsidR="002B63C4">
        <w:rPr>
          <w:rFonts w:ascii="Times New Roman" w:hAnsi="Times New Roman" w:cs="Times New Roman"/>
          <w:sz w:val="24"/>
          <w:szCs w:val="24"/>
        </w:rPr>
        <w:t>2.324.401,87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2B63C4">
        <w:rPr>
          <w:rFonts w:ascii="Times New Roman" w:hAnsi="Times New Roman" w:cs="Times New Roman"/>
          <w:sz w:val="24"/>
          <w:szCs w:val="24"/>
        </w:rPr>
        <w:t>EUR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ili </w:t>
      </w:r>
      <w:r w:rsidR="00936F44">
        <w:rPr>
          <w:rFonts w:ascii="Times New Roman" w:hAnsi="Times New Roman" w:cs="Times New Roman"/>
          <w:sz w:val="24"/>
          <w:szCs w:val="24"/>
        </w:rPr>
        <w:t>9</w:t>
      </w:r>
      <w:r w:rsidR="002B63C4">
        <w:rPr>
          <w:rFonts w:ascii="Times New Roman" w:hAnsi="Times New Roman" w:cs="Times New Roman"/>
          <w:sz w:val="24"/>
          <w:szCs w:val="24"/>
        </w:rPr>
        <w:t>4</w:t>
      </w:r>
      <w:r w:rsidR="00936F44">
        <w:rPr>
          <w:rFonts w:ascii="Times New Roman" w:hAnsi="Times New Roman" w:cs="Times New Roman"/>
          <w:sz w:val="24"/>
          <w:szCs w:val="24"/>
        </w:rPr>
        <w:t>,</w:t>
      </w:r>
      <w:r w:rsidR="002B63C4">
        <w:rPr>
          <w:rFonts w:ascii="Times New Roman" w:hAnsi="Times New Roman" w:cs="Times New Roman"/>
          <w:sz w:val="24"/>
          <w:szCs w:val="24"/>
        </w:rPr>
        <w:t>64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% planiranih ukupnih prihoda. Od ukupno ostvarenih prihoda </w:t>
      </w:r>
      <w:r w:rsidR="00936F44">
        <w:rPr>
          <w:rFonts w:ascii="Times New Roman" w:hAnsi="Times New Roman" w:cs="Times New Roman"/>
          <w:sz w:val="24"/>
          <w:szCs w:val="24"/>
        </w:rPr>
        <w:t>1</w:t>
      </w:r>
      <w:r w:rsidR="002B63C4">
        <w:rPr>
          <w:rFonts w:ascii="Times New Roman" w:hAnsi="Times New Roman" w:cs="Times New Roman"/>
          <w:sz w:val="24"/>
          <w:szCs w:val="24"/>
        </w:rPr>
        <w:t>2.311.729,87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2B63C4">
        <w:rPr>
          <w:rFonts w:ascii="Times New Roman" w:hAnsi="Times New Roman" w:cs="Times New Roman"/>
          <w:sz w:val="24"/>
          <w:szCs w:val="24"/>
        </w:rPr>
        <w:t>EUR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čine prihodi poslovanja i realizirani su </w:t>
      </w:r>
      <w:r w:rsidR="002B63C4">
        <w:rPr>
          <w:rFonts w:ascii="Times New Roman" w:hAnsi="Times New Roman" w:cs="Times New Roman"/>
          <w:sz w:val="24"/>
          <w:szCs w:val="24"/>
        </w:rPr>
        <w:t>95,13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% planiranih prihoda poslovanja, dok su prihodi od </w:t>
      </w:r>
      <w:r w:rsidR="002E00FF">
        <w:rPr>
          <w:rFonts w:ascii="Times New Roman" w:hAnsi="Times New Roman" w:cs="Times New Roman"/>
          <w:sz w:val="24"/>
          <w:szCs w:val="24"/>
        </w:rPr>
        <w:t>prodaje ne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financijske imovine naplaćeni u iznosu </w:t>
      </w:r>
      <w:r w:rsidR="00CA6398">
        <w:rPr>
          <w:rFonts w:ascii="Times New Roman" w:hAnsi="Times New Roman" w:cs="Times New Roman"/>
          <w:sz w:val="24"/>
          <w:szCs w:val="24"/>
        </w:rPr>
        <w:t>1</w:t>
      </w:r>
      <w:r w:rsidR="002B63C4">
        <w:rPr>
          <w:rFonts w:ascii="Times New Roman" w:hAnsi="Times New Roman" w:cs="Times New Roman"/>
          <w:sz w:val="24"/>
          <w:szCs w:val="24"/>
        </w:rPr>
        <w:t>2.672 EUR</w:t>
      </w:r>
      <w:r w:rsidR="00755B73" w:rsidRPr="00B20562">
        <w:rPr>
          <w:rFonts w:ascii="Times New Roman" w:hAnsi="Times New Roman" w:cs="Times New Roman"/>
          <w:sz w:val="24"/>
          <w:szCs w:val="24"/>
        </w:rPr>
        <w:t xml:space="preserve"> i čine </w:t>
      </w:r>
      <w:r w:rsidR="00EE3D82">
        <w:rPr>
          <w:rFonts w:ascii="Times New Roman" w:hAnsi="Times New Roman" w:cs="Times New Roman"/>
          <w:sz w:val="24"/>
          <w:szCs w:val="24"/>
        </w:rPr>
        <w:t>15,84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755B73" w:rsidRPr="00B20562">
        <w:rPr>
          <w:rFonts w:ascii="Times New Roman" w:hAnsi="Times New Roman" w:cs="Times New Roman"/>
          <w:sz w:val="24"/>
          <w:szCs w:val="24"/>
        </w:rPr>
        <w:t>% planiranih u 202</w:t>
      </w:r>
      <w:r w:rsidR="002B63C4">
        <w:rPr>
          <w:rFonts w:ascii="Times New Roman" w:hAnsi="Times New Roman" w:cs="Times New Roman"/>
          <w:sz w:val="24"/>
          <w:szCs w:val="24"/>
        </w:rPr>
        <w:t>4</w:t>
      </w:r>
      <w:r w:rsidR="00755B73" w:rsidRPr="00B20562">
        <w:rPr>
          <w:rFonts w:ascii="Times New Roman" w:hAnsi="Times New Roman" w:cs="Times New Roman"/>
          <w:sz w:val="24"/>
          <w:szCs w:val="24"/>
        </w:rPr>
        <w:t>. godini.</w:t>
      </w:r>
    </w:p>
    <w:p w14:paraId="6C132F48" w14:textId="77777777" w:rsidR="00755B73" w:rsidRPr="00B20562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0980A" w14:textId="22D8A04E" w:rsidR="005D7B34" w:rsidRPr="00B20562" w:rsidRDefault="00755B7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Najznačajniji udio prihoda poslovanja čine</w:t>
      </w:r>
      <w:r w:rsidR="001D039E" w:rsidRPr="00B20562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prihodi od donacija u iznosu </w:t>
      </w:r>
      <w:r w:rsidR="00B47A6E">
        <w:rPr>
          <w:rFonts w:ascii="Times New Roman" w:hAnsi="Times New Roman" w:cs="Times New Roman"/>
          <w:sz w:val="24"/>
          <w:szCs w:val="24"/>
        </w:rPr>
        <w:t>6.</w:t>
      </w:r>
      <w:r w:rsidR="005A104B">
        <w:rPr>
          <w:rFonts w:ascii="Times New Roman" w:hAnsi="Times New Roman" w:cs="Times New Roman"/>
          <w:sz w:val="24"/>
          <w:szCs w:val="24"/>
        </w:rPr>
        <w:t>879.034 EUR</w:t>
      </w:r>
      <w:r w:rsidR="00FD60DB">
        <w:rPr>
          <w:rFonts w:ascii="Times New Roman" w:hAnsi="Times New Roman" w:cs="Times New Roman"/>
          <w:sz w:val="24"/>
          <w:szCs w:val="24"/>
        </w:rPr>
        <w:t>. Navedene prihode čine</w:t>
      </w:r>
      <w:r w:rsidR="0012202C" w:rsidRPr="00B20562">
        <w:rPr>
          <w:rFonts w:ascii="Times New Roman" w:hAnsi="Times New Roman" w:cs="Times New Roman"/>
          <w:sz w:val="24"/>
          <w:szCs w:val="24"/>
        </w:rPr>
        <w:t xml:space="preserve"> prihodi</w:t>
      </w:r>
      <w:r w:rsidR="001D039E" w:rsidRPr="00B20562">
        <w:rPr>
          <w:rFonts w:ascii="Times New Roman" w:hAnsi="Times New Roman" w:cs="Times New Roman"/>
          <w:sz w:val="24"/>
          <w:szCs w:val="24"/>
        </w:rPr>
        <w:t xml:space="preserve"> od prodaje roba i suvenira na šankovima Ustanove u iznosu </w:t>
      </w:r>
      <w:r w:rsidR="005A104B">
        <w:rPr>
          <w:rFonts w:ascii="Times New Roman" w:hAnsi="Times New Roman" w:cs="Times New Roman"/>
          <w:sz w:val="24"/>
          <w:szCs w:val="24"/>
        </w:rPr>
        <w:t>102.235 EUR</w:t>
      </w:r>
      <w:r w:rsidR="00117792" w:rsidRPr="00B20562">
        <w:rPr>
          <w:rFonts w:ascii="Times New Roman" w:hAnsi="Times New Roman" w:cs="Times New Roman"/>
          <w:sz w:val="24"/>
          <w:szCs w:val="24"/>
        </w:rPr>
        <w:t xml:space="preserve">, 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prihodi od pruženih usluga u iznosu </w:t>
      </w:r>
      <w:r w:rsidR="009C42B6">
        <w:rPr>
          <w:rFonts w:ascii="Times New Roman" w:hAnsi="Times New Roman" w:cs="Times New Roman"/>
          <w:sz w:val="24"/>
          <w:szCs w:val="24"/>
        </w:rPr>
        <w:t>6.</w:t>
      </w:r>
      <w:r w:rsidR="006A6626">
        <w:rPr>
          <w:rFonts w:ascii="Times New Roman" w:hAnsi="Times New Roman" w:cs="Times New Roman"/>
          <w:sz w:val="24"/>
          <w:szCs w:val="24"/>
        </w:rPr>
        <w:t>771.304</w:t>
      </w:r>
      <w:r w:rsidR="009C42B6">
        <w:rPr>
          <w:rFonts w:ascii="Times New Roman" w:hAnsi="Times New Roman" w:cs="Times New Roman"/>
          <w:sz w:val="24"/>
          <w:szCs w:val="24"/>
        </w:rPr>
        <w:t xml:space="preserve"> EUR</w:t>
      </w:r>
      <w:r w:rsidR="00117792" w:rsidRPr="00B20562">
        <w:rPr>
          <w:rFonts w:ascii="Times New Roman" w:hAnsi="Times New Roman" w:cs="Times New Roman"/>
          <w:sz w:val="24"/>
          <w:szCs w:val="24"/>
        </w:rPr>
        <w:t xml:space="preserve"> i donacije u iznosu </w:t>
      </w:r>
      <w:r w:rsidR="009C42B6">
        <w:rPr>
          <w:rFonts w:ascii="Times New Roman" w:hAnsi="Times New Roman" w:cs="Times New Roman"/>
          <w:sz w:val="24"/>
          <w:szCs w:val="24"/>
        </w:rPr>
        <w:t>5.49</w:t>
      </w:r>
      <w:r w:rsidR="000D0E19">
        <w:rPr>
          <w:rFonts w:ascii="Times New Roman" w:hAnsi="Times New Roman" w:cs="Times New Roman"/>
          <w:sz w:val="24"/>
          <w:szCs w:val="24"/>
        </w:rPr>
        <w:t>5</w:t>
      </w:r>
      <w:r w:rsidR="00F41C54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9C42B6">
        <w:rPr>
          <w:rFonts w:ascii="Times New Roman" w:hAnsi="Times New Roman" w:cs="Times New Roman"/>
          <w:sz w:val="24"/>
          <w:szCs w:val="24"/>
        </w:rPr>
        <w:t>EUR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. Strukturu prihoda 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od pruženih usluga </w:t>
      </w:r>
      <w:r w:rsidR="00E9185A" w:rsidRPr="00B20562">
        <w:rPr>
          <w:rFonts w:ascii="Times New Roman" w:hAnsi="Times New Roman" w:cs="Times New Roman"/>
          <w:sz w:val="24"/>
          <w:szCs w:val="24"/>
        </w:rPr>
        <w:t>čin</w:t>
      </w:r>
      <w:r w:rsidR="00FD60DB">
        <w:rPr>
          <w:rFonts w:ascii="Times New Roman" w:hAnsi="Times New Roman" w:cs="Times New Roman"/>
          <w:sz w:val="24"/>
          <w:szCs w:val="24"/>
        </w:rPr>
        <w:t>e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5D7B34" w:rsidRPr="00B20562">
        <w:rPr>
          <w:rFonts w:ascii="Times New Roman" w:hAnsi="Times New Roman" w:cs="Times New Roman"/>
          <w:sz w:val="24"/>
          <w:szCs w:val="24"/>
        </w:rPr>
        <w:t>prihod</w:t>
      </w:r>
      <w:r w:rsidR="00FD60DB">
        <w:rPr>
          <w:rFonts w:ascii="Times New Roman" w:hAnsi="Times New Roman" w:cs="Times New Roman"/>
          <w:sz w:val="24"/>
          <w:szCs w:val="24"/>
        </w:rPr>
        <w:t>i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 od hotelijerskih usluga 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u iznosu </w:t>
      </w:r>
      <w:r w:rsidR="009345F1">
        <w:rPr>
          <w:rFonts w:ascii="Times New Roman" w:hAnsi="Times New Roman" w:cs="Times New Roman"/>
          <w:sz w:val="24"/>
          <w:szCs w:val="24"/>
        </w:rPr>
        <w:t>6</w:t>
      </w:r>
      <w:r w:rsidR="00E9185A" w:rsidRPr="00B20562">
        <w:rPr>
          <w:rFonts w:ascii="Times New Roman" w:hAnsi="Times New Roman" w:cs="Times New Roman"/>
          <w:sz w:val="24"/>
          <w:szCs w:val="24"/>
        </w:rPr>
        <w:t>.</w:t>
      </w:r>
      <w:r w:rsidR="00022155">
        <w:rPr>
          <w:rFonts w:ascii="Times New Roman" w:hAnsi="Times New Roman" w:cs="Times New Roman"/>
          <w:sz w:val="24"/>
          <w:szCs w:val="24"/>
        </w:rPr>
        <w:t>406.349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A6626">
        <w:rPr>
          <w:rFonts w:ascii="Times New Roman" w:hAnsi="Times New Roman" w:cs="Times New Roman"/>
          <w:sz w:val="24"/>
          <w:szCs w:val="24"/>
        </w:rPr>
        <w:t>EUR</w:t>
      </w:r>
      <w:r w:rsidR="00E9185A" w:rsidRPr="00B20562">
        <w:rPr>
          <w:rFonts w:ascii="Times New Roman" w:hAnsi="Times New Roman" w:cs="Times New Roman"/>
          <w:sz w:val="24"/>
          <w:szCs w:val="24"/>
        </w:rPr>
        <w:t>, prihod</w:t>
      </w:r>
      <w:r w:rsidR="00FD60DB">
        <w:rPr>
          <w:rFonts w:ascii="Times New Roman" w:hAnsi="Times New Roman" w:cs="Times New Roman"/>
          <w:sz w:val="24"/>
          <w:szCs w:val="24"/>
        </w:rPr>
        <w:t>i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od koncesija za iznajmljivanje imovine i turističko oplovljavanje u iznosu od </w:t>
      </w:r>
      <w:r w:rsidR="0098638B">
        <w:rPr>
          <w:rFonts w:ascii="Times New Roman" w:hAnsi="Times New Roman" w:cs="Times New Roman"/>
          <w:sz w:val="24"/>
          <w:szCs w:val="24"/>
        </w:rPr>
        <w:t>241.993</w:t>
      </w:r>
      <w:r w:rsidR="00E9185A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A6626">
        <w:rPr>
          <w:rFonts w:ascii="Times New Roman" w:hAnsi="Times New Roman" w:cs="Times New Roman"/>
          <w:sz w:val="24"/>
          <w:szCs w:val="24"/>
        </w:rPr>
        <w:t>EUR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te prihod</w:t>
      </w:r>
      <w:r w:rsidR="00FD60DB">
        <w:rPr>
          <w:rFonts w:ascii="Times New Roman" w:hAnsi="Times New Roman" w:cs="Times New Roman"/>
          <w:sz w:val="24"/>
          <w:szCs w:val="24"/>
        </w:rPr>
        <w:t>i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od usluga prijevoza, refundacija usluga režijskih troškova pruženih MORH-u</w:t>
      </w:r>
      <w:r w:rsidR="00FD60DB">
        <w:rPr>
          <w:rFonts w:ascii="Times New Roman" w:hAnsi="Times New Roman" w:cs="Times New Roman"/>
          <w:sz w:val="24"/>
          <w:szCs w:val="24"/>
        </w:rPr>
        <w:t>,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Državnim nekretninama i ostalih pruženih usluga u iznosu </w:t>
      </w:r>
      <w:r w:rsidR="0098638B">
        <w:rPr>
          <w:rFonts w:ascii="Times New Roman" w:hAnsi="Times New Roman" w:cs="Times New Roman"/>
          <w:sz w:val="24"/>
          <w:szCs w:val="24"/>
        </w:rPr>
        <w:t>122.962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A6626">
        <w:rPr>
          <w:rFonts w:ascii="Times New Roman" w:hAnsi="Times New Roman" w:cs="Times New Roman"/>
          <w:sz w:val="24"/>
          <w:szCs w:val="24"/>
        </w:rPr>
        <w:t>EUR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. 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Navedeni prihodi ostvareni su </w:t>
      </w:r>
      <w:r w:rsidR="0098638B">
        <w:rPr>
          <w:rFonts w:ascii="Times New Roman" w:hAnsi="Times New Roman" w:cs="Times New Roman"/>
          <w:sz w:val="24"/>
          <w:szCs w:val="24"/>
        </w:rPr>
        <w:t>93,43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5D7B34" w:rsidRPr="00B20562">
        <w:rPr>
          <w:rFonts w:ascii="Times New Roman" w:hAnsi="Times New Roman" w:cs="Times New Roman"/>
          <w:sz w:val="24"/>
          <w:szCs w:val="24"/>
        </w:rPr>
        <w:t>% plan</w:t>
      </w:r>
      <w:r w:rsidR="005F1BF6" w:rsidRPr="00B20562">
        <w:rPr>
          <w:rFonts w:ascii="Times New Roman" w:hAnsi="Times New Roman" w:cs="Times New Roman"/>
          <w:sz w:val="24"/>
          <w:szCs w:val="24"/>
        </w:rPr>
        <w:t xml:space="preserve">iranih u </w:t>
      </w:r>
      <w:r w:rsidR="005D7B34" w:rsidRPr="00B20562">
        <w:rPr>
          <w:rFonts w:ascii="Times New Roman" w:hAnsi="Times New Roman" w:cs="Times New Roman"/>
          <w:sz w:val="24"/>
          <w:szCs w:val="24"/>
        </w:rPr>
        <w:t>202</w:t>
      </w:r>
      <w:r w:rsidR="0048028A">
        <w:rPr>
          <w:rFonts w:ascii="Times New Roman" w:hAnsi="Times New Roman" w:cs="Times New Roman"/>
          <w:sz w:val="24"/>
          <w:szCs w:val="24"/>
        </w:rPr>
        <w:t>4</w:t>
      </w:r>
      <w:r w:rsidR="005D7B34" w:rsidRPr="00B20562">
        <w:rPr>
          <w:rFonts w:ascii="Times New Roman" w:hAnsi="Times New Roman" w:cs="Times New Roman"/>
          <w:sz w:val="24"/>
          <w:szCs w:val="24"/>
        </w:rPr>
        <w:t>. godin</w:t>
      </w:r>
      <w:r w:rsidR="005F1BF6" w:rsidRPr="00B20562">
        <w:rPr>
          <w:rFonts w:ascii="Times New Roman" w:hAnsi="Times New Roman" w:cs="Times New Roman"/>
          <w:sz w:val="24"/>
          <w:szCs w:val="24"/>
        </w:rPr>
        <w:t>i</w:t>
      </w:r>
      <w:r w:rsidR="005D7B34" w:rsidRPr="00B20562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98638B">
        <w:rPr>
          <w:rFonts w:ascii="Times New Roman" w:hAnsi="Times New Roman" w:cs="Times New Roman"/>
          <w:sz w:val="24"/>
          <w:szCs w:val="24"/>
        </w:rPr>
        <w:t>4,31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5D7B34" w:rsidRPr="00B20562">
        <w:rPr>
          <w:rFonts w:ascii="Times New Roman" w:hAnsi="Times New Roman" w:cs="Times New Roman"/>
          <w:sz w:val="24"/>
          <w:szCs w:val="24"/>
        </w:rPr>
        <w:t>% u odnosu na ostvareno u istom razdoblju 202</w:t>
      </w:r>
      <w:r w:rsidR="0048028A">
        <w:rPr>
          <w:rFonts w:ascii="Times New Roman" w:hAnsi="Times New Roman" w:cs="Times New Roman"/>
          <w:sz w:val="24"/>
          <w:szCs w:val="24"/>
        </w:rPr>
        <w:t>3</w:t>
      </w:r>
      <w:r w:rsidR="005D7B34" w:rsidRPr="00B20562">
        <w:rPr>
          <w:rFonts w:ascii="Times New Roman" w:hAnsi="Times New Roman" w:cs="Times New Roman"/>
          <w:sz w:val="24"/>
          <w:szCs w:val="24"/>
        </w:rPr>
        <w:t>. godine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što je rezultat porasta prihoda od hotelskih usluga </w:t>
      </w:r>
      <w:r w:rsidR="00F41C54" w:rsidRPr="00B20562">
        <w:rPr>
          <w:rFonts w:ascii="Times New Roman" w:hAnsi="Times New Roman" w:cs="Times New Roman"/>
          <w:sz w:val="24"/>
          <w:szCs w:val="24"/>
        </w:rPr>
        <w:t>zbog povećanja</w:t>
      </w:r>
      <w:r w:rsidR="0017252B" w:rsidRPr="00B20562">
        <w:rPr>
          <w:rFonts w:ascii="Times New Roman" w:hAnsi="Times New Roman" w:cs="Times New Roman"/>
          <w:sz w:val="24"/>
          <w:szCs w:val="24"/>
        </w:rPr>
        <w:t xml:space="preserve"> broja noćenja</w:t>
      </w:r>
      <w:r w:rsidR="00BB6503">
        <w:rPr>
          <w:rFonts w:ascii="Times New Roman" w:hAnsi="Times New Roman" w:cs="Times New Roman"/>
          <w:sz w:val="24"/>
          <w:szCs w:val="24"/>
        </w:rPr>
        <w:t xml:space="preserve"> i rasta cijena na tržištu</w:t>
      </w:r>
      <w:r w:rsidR="0017252B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4B670BAF" w14:textId="6B8A91BF" w:rsidR="00CA73E2" w:rsidRPr="00B20562" w:rsidRDefault="006C488D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P</w:t>
      </w:r>
      <w:r w:rsidR="005F1BF6" w:rsidRPr="00B20562">
        <w:rPr>
          <w:rFonts w:ascii="Times New Roman" w:hAnsi="Times New Roman" w:cs="Times New Roman"/>
          <w:sz w:val="24"/>
          <w:szCs w:val="24"/>
        </w:rPr>
        <w:t>rihod</w:t>
      </w:r>
      <w:r w:rsidRPr="00B20562">
        <w:rPr>
          <w:rFonts w:ascii="Times New Roman" w:hAnsi="Times New Roman" w:cs="Times New Roman"/>
          <w:sz w:val="24"/>
          <w:szCs w:val="24"/>
        </w:rPr>
        <w:t>i</w:t>
      </w:r>
      <w:r w:rsidR="005F1BF6" w:rsidRPr="00B20562">
        <w:rPr>
          <w:rFonts w:ascii="Times New Roman" w:hAnsi="Times New Roman" w:cs="Times New Roman"/>
          <w:sz w:val="24"/>
          <w:szCs w:val="24"/>
        </w:rPr>
        <w:t xml:space="preserve"> od upravnih i administrativnih pristojbi, pristojbi po posebnim propisima i naknada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070843">
        <w:rPr>
          <w:rFonts w:ascii="Times New Roman" w:hAnsi="Times New Roman" w:cs="Times New Roman"/>
          <w:sz w:val="24"/>
          <w:szCs w:val="24"/>
        </w:rPr>
        <w:t>4.1</w:t>
      </w:r>
      <w:r w:rsidR="0098638B">
        <w:rPr>
          <w:rFonts w:ascii="Times New Roman" w:hAnsi="Times New Roman" w:cs="Times New Roman"/>
          <w:sz w:val="24"/>
          <w:szCs w:val="24"/>
        </w:rPr>
        <w:t>83.619</w:t>
      </w:r>
      <w:r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98638B">
        <w:rPr>
          <w:rFonts w:ascii="Times New Roman" w:hAnsi="Times New Roman" w:cs="Times New Roman"/>
          <w:sz w:val="24"/>
          <w:szCs w:val="24"/>
        </w:rPr>
        <w:t>EUR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 što čini </w:t>
      </w:r>
      <w:r w:rsidRPr="00B20562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070843">
        <w:rPr>
          <w:rFonts w:ascii="Times New Roman" w:hAnsi="Times New Roman" w:cs="Times New Roman"/>
          <w:sz w:val="24"/>
          <w:szCs w:val="24"/>
        </w:rPr>
        <w:t>9</w:t>
      </w:r>
      <w:r w:rsidR="0098638B">
        <w:rPr>
          <w:rFonts w:ascii="Times New Roman" w:hAnsi="Times New Roman" w:cs="Times New Roman"/>
          <w:sz w:val="24"/>
          <w:szCs w:val="24"/>
        </w:rPr>
        <w:t>7,69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="00857EF3" w:rsidRPr="00B20562">
        <w:rPr>
          <w:rFonts w:ascii="Times New Roman" w:hAnsi="Times New Roman" w:cs="Times New Roman"/>
          <w:sz w:val="24"/>
          <w:szCs w:val="24"/>
        </w:rPr>
        <w:t>% plana 202</w:t>
      </w:r>
      <w:r w:rsidR="0098638B">
        <w:rPr>
          <w:rFonts w:ascii="Times New Roman" w:hAnsi="Times New Roman" w:cs="Times New Roman"/>
          <w:sz w:val="24"/>
          <w:szCs w:val="24"/>
        </w:rPr>
        <w:t>4</w:t>
      </w:r>
      <w:r w:rsidR="00857EF3" w:rsidRPr="00B20562">
        <w:rPr>
          <w:rFonts w:ascii="Times New Roman" w:hAnsi="Times New Roman" w:cs="Times New Roman"/>
          <w:sz w:val="24"/>
          <w:szCs w:val="24"/>
        </w:rPr>
        <w:t>.</w:t>
      </w:r>
      <w:r w:rsidR="00601082">
        <w:rPr>
          <w:rFonts w:ascii="Times New Roman" w:hAnsi="Times New Roman" w:cs="Times New Roman"/>
          <w:sz w:val="24"/>
          <w:szCs w:val="24"/>
        </w:rPr>
        <w:t xml:space="preserve"> </w:t>
      </w:r>
      <w:r w:rsidR="00F87A22">
        <w:rPr>
          <w:rFonts w:ascii="Times New Roman" w:hAnsi="Times New Roman" w:cs="Times New Roman"/>
          <w:sz w:val="24"/>
          <w:szCs w:val="24"/>
        </w:rPr>
        <w:t xml:space="preserve">godine </w:t>
      </w:r>
      <w:r w:rsidR="00601082">
        <w:rPr>
          <w:rFonts w:ascii="Times New Roman" w:hAnsi="Times New Roman" w:cs="Times New Roman"/>
          <w:sz w:val="24"/>
          <w:szCs w:val="24"/>
        </w:rPr>
        <w:t>i na</w:t>
      </w:r>
      <w:r w:rsidR="00601082" w:rsidRPr="00601082">
        <w:rPr>
          <w:rFonts w:ascii="Times New Roman" w:hAnsi="Times New Roman" w:cs="Times New Roman"/>
          <w:sz w:val="24"/>
          <w:szCs w:val="24"/>
        </w:rPr>
        <w:t xml:space="preserve"> </w:t>
      </w:r>
      <w:r w:rsidR="00601082">
        <w:rPr>
          <w:rFonts w:ascii="Times New Roman" w:hAnsi="Times New Roman" w:cs="Times New Roman"/>
          <w:sz w:val="24"/>
          <w:szCs w:val="24"/>
        </w:rPr>
        <w:t>razini su ostvarenih u istom r</w:t>
      </w:r>
      <w:r w:rsidR="00601082" w:rsidRPr="00B20562">
        <w:rPr>
          <w:rFonts w:ascii="Times New Roman" w:hAnsi="Times New Roman" w:cs="Times New Roman"/>
          <w:sz w:val="24"/>
          <w:szCs w:val="24"/>
        </w:rPr>
        <w:t>azdoblj</w:t>
      </w:r>
      <w:r w:rsidR="00601082">
        <w:rPr>
          <w:rFonts w:ascii="Times New Roman" w:hAnsi="Times New Roman" w:cs="Times New Roman"/>
          <w:sz w:val="24"/>
          <w:szCs w:val="24"/>
        </w:rPr>
        <w:t>u</w:t>
      </w:r>
      <w:r w:rsidR="00601082" w:rsidRPr="00B20562">
        <w:rPr>
          <w:rFonts w:ascii="Times New Roman" w:hAnsi="Times New Roman" w:cs="Times New Roman"/>
          <w:sz w:val="24"/>
          <w:szCs w:val="24"/>
        </w:rPr>
        <w:t xml:space="preserve"> 202</w:t>
      </w:r>
      <w:r w:rsidR="00601082">
        <w:rPr>
          <w:rFonts w:ascii="Times New Roman" w:hAnsi="Times New Roman" w:cs="Times New Roman"/>
          <w:sz w:val="24"/>
          <w:szCs w:val="24"/>
        </w:rPr>
        <w:t>3</w:t>
      </w:r>
      <w:r w:rsidR="00601082" w:rsidRPr="00B20562">
        <w:rPr>
          <w:rFonts w:ascii="Times New Roman" w:hAnsi="Times New Roman" w:cs="Times New Roman"/>
          <w:sz w:val="24"/>
          <w:szCs w:val="24"/>
        </w:rPr>
        <w:t>. godin</w:t>
      </w:r>
      <w:r w:rsidR="00601082">
        <w:rPr>
          <w:rFonts w:ascii="Times New Roman" w:hAnsi="Times New Roman" w:cs="Times New Roman"/>
          <w:sz w:val="24"/>
          <w:szCs w:val="24"/>
        </w:rPr>
        <w:t>e.</w:t>
      </w:r>
      <w:r w:rsidR="00601082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01082">
        <w:rPr>
          <w:rFonts w:ascii="Times New Roman" w:hAnsi="Times New Roman" w:cs="Times New Roman"/>
          <w:sz w:val="24"/>
          <w:szCs w:val="24"/>
        </w:rPr>
        <w:t xml:space="preserve">Navedene </w:t>
      </w:r>
      <w:r w:rsidR="00601082" w:rsidRPr="00B20562">
        <w:rPr>
          <w:rFonts w:ascii="Times New Roman" w:hAnsi="Times New Roman" w:cs="Times New Roman"/>
          <w:sz w:val="24"/>
          <w:szCs w:val="24"/>
        </w:rPr>
        <w:t>prihod</w:t>
      </w:r>
      <w:r w:rsidR="00601082">
        <w:rPr>
          <w:rFonts w:ascii="Times New Roman" w:hAnsi="Times New Roman" w:cs="Times New Roman"/>
          <w:sz w:val="24"/>
          <w:szCs w:val="24"/>
        </w:rPr>
        <w:t>e</w:t>
      </w:r>
      <w:r w:rsidR="00857EF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601082">
        <w:rPr>
          <w:rFonts w:ascii="Times New Roman" w:hAnsi="Times New Roman" w:cs="Times New Roman"/>
          <w:sz w:val="24"/>
          <w:szCs w:val="24"/>
        </w:rPr>
        <w:t xml:space="preserve">čine prihodi od </w:t>
      </w:r>
      <w:r w:rsidR="0042556F" w:rsidRPr="00B20562">
        <w:rPr>
          <w:rFonts w:ascii="Times New Roman" w:hAnsi="Times New Roman" w:cs="Times New Roman"/>
          <w:sz w:val="24"/>
          <w:szCs w:val="24"/>
        </w:rPr>
        <w:t xml:space="preserve">pružanja izletničkih usluga u iznosu </w:t>
      </w:r>
      <w:r w:rsidR="00601082">
        <w:rPr>
          <w:rFonts w:ascii="Times New Roman" w:hAnsi="Times New Roman" w:cs="Times New Roman"/>
          <w:sz w:val="24"/>
          <w:szCs w:val="24"/>
        </w:rPr>
        <w:t>4.137.768</w:t>
      </w:r>
      <w:r w:rsidR="00070843">
        <w:rPr>
          <w:rFonts w:ascii="Times New Roman" w:hAnsi="Times New Roman" w:cs="Times New Roman"/>
          <w:sz w:val="24"/>
          <w:szCs w:val="24"/>
        </w:rPr>
        <w:t xml:space="preserve"> </w:t>
      </w:r>
      <w:r w:rsidR="00601082">
        <w:rPr>
          <w:rFonts w:ascii="Times New Roman" w:hAnsi="Times New Roman" w:cs="Times New Roman"/>
          <w:sz w:val="24"/>
          <w:szCs w:val="24"/>
        </w:rPr>
        <w:t>EUR</w:t>
      </w:r>
      <w:r w:rsidR="0042556F" w:rsidRPr="00B20562">
        <w:rPr>
          <w:rFonts w:ascii="Times New Roman" w:hAnsi="Times New Roman" w:cs="Times New Roman"/>
          <w:sz w:val="24"/>
          <w:szCs w:val="24"/>
        </w:rPr>
        <w:t>, prihod</w:t>
      </w:r>
      <w:r w:rsidR="00601082">
        <w:rPr>
          <w:rFonts w:ascii="Times New Roman" w:hAnsi="Times New Roman" w:cs="Times New Roman"/>
          <w:sz w:val="24"/>
          <w:szCs w:val="24"/>
        </w:rPr>
        <w:t>i</w:t>
      </w:r>
      <w:r w:rsidR="0042556F" w:rsidRPr="00B20562">
        <w:rPr>
          <w:rFonts w:ascii="Times New Roman" w:hAnsi="Times New Roman" w:cs="Times New Roman"/>
          <w:sz w:val="24"/>
          <w:szCs w:val="24"/>
        </w:rPr>
        <w:t xml:space="preserve"> s naslova osiguranja, refundacije štete od osiguravajućeg društva u iznosu </w:t>
      </w:r>
      <w:r w:rsidR="00601082">
        <w:rPr>
          <w:rFonts w:ascii="Times New Roman" w:hAnsi="Times New Roman" w:cs="Times New Roman"/>
          <w:sz w:val="24"/>
          <w:szCs w:val="24"/>
        </w:rPr>
        <w:t>10.670 EUR</w:t>
      </w:r>
      <w:r w:rsidR="0042556F" w:rsidRPr="00B20562">
        <w:rPr>
          <w:rFonts w:ascii="Times New Roman" w:hAnsi="Times New Roman" w:cs="Times New Roman"/>
          <w:sz w:val="24"/>
          <w:szCs w:val="24"/>
        </w:rPr>
        <w:t xml:space="preserve"> i </w:t>
      </w:r>
      <w:r w:rsidR="005C1AE8" w:rsidRPr="00B20562">
        <w:rPr>
          <w:rFonts w:ascii="Times New Roman" w:hAnsi="Times New Roman" w:cs="Times New Roman"/>
          <w:sz w:val="24"/>
          <w:szCs w:val="24"/>
        </w:rPr>
        <w:t xml:space="preserve">prihodi od lučke pristojbe iznosu </w:t>
      </w:r>
      <w:r w:rsidR="00601082">
        <w:rPr>
          <w:rFonts w:ascii="Times New Roman" w:hAnsi="Times New Roman" w:cs="Times New Roman"/>
          <w:sz w:val="24"/>
          <w:szCs w:val="24"/>
        </w:rPr>
        <w:t>35.181 EUR.</w:t>
      </w:r>
    </w:p>
    <w:p w14:paraId="459148A3" w14:textId="76C2C5AD" w:rsidR="002E31BC" w:rsidRPr="000A1A1C" w:rsidRDefault="002E6C7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u iznosu </w:t>
      </w:r>
      <w:r w:rsidR="000E6EF0">
        <w:rPr>
          <w:rFonts w:ascii="Times New Roman" w:hAnsi="Times New Roman" w:cs="Times New Roman"/>
          <w:sz w:val="24"/>
          <w:szCs w:val="24"/>
        </w:rPr>
        <w:t>468.283</w:t>
      </w:r>
      <w:r w:rsidR="009314B7">
        <w:rPr>
          <w:rFonts w:ascii="Times New Roman" w:hAnsi="Times New Roman" w:cs="Times New Roman"/>
          <w:sz w:val="24"/>
          <w:szCs w:val="24"/>
        </w:rPr>
        <w:t xml:space="preserve"> </w:t>
      </w:r>
      <w:r w:rsidR="000E6EF0">
        <w:rPr>
          <w:rFonts w:ascii="Times New Roman" w:hAnsi="Times New Roman" w:cs="Times New Roman"/>
          <w:sz w:val="24"/>
          <w:szCs w:val="24"/>
        </w:rPr>
        <w:t>EUR</w:t>
      </w:r>
      <w:r w:rsidRPr="000A1A1C">
        <w:rPr>
          <w:rFonts w:ascii="Times New Roman" w:hAnsi="Times New Roman" w:cs="Times New Roman"/>
          <w:sz w:val="24"/>
          <w:szCs w:val="24"/>
        </w:rPr>
        <w:t xml:space="preserve"> se na</w:t>
      </w:r>
      <w:r w:rsidR="009314B7">
        <w:rPr>
          <w:rFonts w:ascii="Times New Roman" w:hAnsi="Times New Roman" w:cs="Times New Roman"/>
          <w:sz w:val="24"/>
          <w:szCs w:val="24"/>
        </w:rPr>
        <w:t>:</w:t>
      </w:r>
    </w:p>
    <w:p w14:paraId="12D83B01" w14:textId="485ED468" w:rsidR="002E31BC" w:rsidRPr="000A1A1C" w:rsidRDefault="002E6C74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lastRenderedPageBreak/>
        <w:t xml:space="preserve">sredstva pomoći od međunarodnih </w:t>
      </w:r>
      <w:r w:rsidR="00DF4644" w:rsidRPr="000A1A1C">
        <w:rPr>
          <w:rFonts w:ascii="Times New Roman" w:hAnsi="Times New Roman" w:cs="Times New Roman"/>
          <w:sz w:val="24"/>
          <w:szCs w:val="24"/>
        </w:rPr>
        <w:t>organizacija i institucija EU za provedbu projek</w:t>
      </w:r>
      <w:r w:rsidR="000A1A1C">
        <w:rPr>
          <w:rFonts w:ascii="Times New Roman" w:hAnsi="Times New Roman" w:cs="Times New Roman"/>
          <w:sz w:val="24"/>
          <w:szCs w:val="24"/>
        </w:rPr>
        <w:t>a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ta prekogranične suradnje Interreg </w:t>
      </w:r>
      <w:r w:rsidR="000B13E1">
        <w:rPr>
          <w:rFonts w:ascii="Times New Roman" w:hAnsi="Times New Roman" w:cs="Times New Roman"/>
          <w:sz w:val="24"/>
          <w:szCs w:val="24"/>
        </w:rPr>
        <w:t>Euro-MED Programme 2021-2027</w:t>
      </w:r>
      <w:r w:rsidR="00272691">
        <w:rPr>
          <w:rFonts w:ascii="Times New Roman" w:hAnsi="Times New Roman" w:cs="Times New Roman"/>
          <w:sz w:val="24"/>
          <w:szCs w:val="24"/>
        </w:rPr>
        <w:t xml:space="preserve"> </w:t>
      </w:r>
      <w:r w:rsidR="000B13E1">
        <w:rPr>
          <w:rFonts w:ascii="Times New Roman" w:hAnsi="Times New Roman" w:cs="Times New Roman"/>
          <w:sz w:val="24"/>
          <w:szCs w:val="24"/>
        </w:rPr>
        <w:t>g</w:t>
      </w:r>
      <w:r w:rsidR="00340193">
        <w:rPr>
          <w:rFonts w:ascii="Times New Roman" w:hAnsi="Times New Roman" w:cs="Times New Roman"/>
          <w:sz w:val="24"/>
          <w:szCs w:val="24"/>
        </w:rPr>
        <w:t>odine</w:t>
      </w:r>
      <w:r w:rsidR="000B13E1">
        <w:rPr>
          <w:rFonts w:ascii="Times New Roman" w:hAnsi="Times New Roman" w:cs="Times New Roman"/>
          <w:sz w:val="24"/>
          <w:szCs w:val="24"/>
        </w:rPr>
        <w:t xml:space="preserve"> 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u iznosu </w:t>
      </w:r>
      <w:r w:rsidR="000B13E1">
        <w:rPr>
          <w:rFonts w:ascii="Times New Roman" w:hAnsi="Times New Roman" w:cs="Times New Roman"/>
          <w:sz w:val="24"/>
          <w:szCs w:val="24"/>
        </w:rPr>
        <w:t>800 EUR</w:t>
      </w:r>
    </w:p>
    <w:p w14:paraId="34D94B94" w14:textId="4078BB5D" w:rsidR="002E31BC" w:rsidRPr="000A1A1C" w:rsidRDefault="002E31BC" w:rsidP="002E3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1C">
        <w:rPr>
          <w:rFonts w:ascii="Times New Roman" w:hAnsi="Times New Roman" w:cs="Times New Roman"/>
          <w:sz w:val="24"/>
          <w:szCs w:val="24"/>
        </w:rPr>
        <w:t xml:space="preserve">sredstva pomoći od izvanproračunskih korisnika </w:t>
      </w:r>
      <w:r w:rsidR="00DF4644" w:rsidRPr="000A1A1C">
        <w:rPr>
          <w:rFonts w:ascii="Times New Roman" w:hAnsi="Times New Roman" w:cs="Times New Roman"/>
          <w:sz w:val="24"/>
          <w:szCs w:val="24"/>
        </w:rPr>
        <w:t xml:space="preserve">potpore za zapošljavanje stalnih sezonaca u iznosu </w:t>
      </w:r>
      <w:r w:rsidR="00175CFF">
        <w:rPr>
          <w:rFonts w:ascii="Times New Roman" w:hAnsi="Times New Roman" w:cs="Times New Roman"/>
          <w:sz w:val="24"/>
          <w:szCs w:val="24"/>
        </w:rPr>
        <w:t>1.416 EUR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, uplate </w:t>
      </w:r>
      <w:r w:rsidR="00DF4644" w:rsidRPr="000A1A1C">
        <w:rPr>
          <w:rFonts w:ascii="Times New Roman" w:hAnsi="Times New Roman" w:cs="Times New Roman"/>
          <w:sz w:val="24"/>
          <w:szCs w:val="24"/>
        </w:rPr>
        <w:t>Fonda za zaštitu okoliša i energetsku učinkovitost za projekt Očuvanja plemenite periske</w:t>
      </w:r>
      <w:r w:rsidR="00175CFF">
        <w:rPr>
          <w:rFonts w:ascii="Times New Roman" w:hAnsi="Times New Roman" w:cs="Times New Roman"/>
          <w:sz w:val="24"/>
          <w:szCs w:val="24"/>
        </w:rPr>
        <w:t xml:space="preserve"> u sjevernom Jadranu</w:t>
      </w:r>
      <w:r w:rsidR="00856534" w:rsidRPr="000A1A1C">
        <w:rPr>
          <w:rFonts w:ascii="Times New Roman" w:hAnsi="Times New Roman" w:cs="Times New Roman"/>
          <w:sz w:val="24"/>
          <w:szCs w:val="24"/>
        </w:rPr>
        <w:t xml:space="preserve">, </w:t>
      </w:r>
      <w:r w:rsidR="000A4E31">
        <w:rPr>
          <w:rFonts w:ascii="Times New Roman" w:hAnsi="Times New Roman" w:cs="Times New Roman"/>
          <w:sz w:val="24"/>
          <w:szCs w:val="24"/>
        </w:rPr>
        <w:t>provedbu projekta sanacije postojećih puteva i prometnica na Velikom Brijunu, projekta financiranja izrade projektne dokumentacije za projekt obnove Vile Kupelwieser i projektne dokumentacije uređenja okoliša na otoku Mali Brijun u iznosu 136.256 EUR</w:t>
      </w:r>
    </w:p>
    <w:p w14:paraId="383F2DB5" w14:textId="31E9B2C1" w:rsidR="000A4E31" w:rsidRDefault="002E31BC" w:rsidP="008D60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E31">
        <w:rPr>
          <w:rFonts w:ascii="Times New Roman" w:hAnsi="Times New Roman" w:cs="Times New Roman"/>
          <w:sz w:val="24"/>
          <w:szCs w:val="24"/>
        </w:rPr>
        <w:t>prijenosi između proračunskih korisnika istog proračuna</w:t>
      </w:r>
      <w:r w:rsidR="00856534" w:rsidRPr="000A4E31">
        <w:rPr>
          <w:rFonts w:ascii="Times New Roman" w:hAnsi="Times New Roman" w:cs="Times New Roman"/>
          <w:sz w:val="24"/>
          <w:szCs w:val="24"/>
        </w:rPr>
        <w:t xml:space="preserve"> uplate potpora Agencije za plaćanja u poljoprivredi, ribarstvu i ruralnom razvoju u iznosu od </w:t>
      </w:r>
      <w:r w:rsidR="000A4E31" w:rsidRPr="000A4E31">
        <w:rPr>
          <w:rFonts w:ascii="Times New Roman" w:hAnsi="Times New Roman" w:cs="Times New Roman"/>
          <w:sz w:val="24"/>
          <w:szCs w:val="24"/>
        </w:rPr>
        <w:t>25.541 EUR,</w:t>
      </w:r>
      <w:r w:rsidR="006750E4" w:rsidRPr="000A4E31">
        <w:rPr>
          <w:rFonts w:ascii="Times New Roman" w:hAnsi="Times New Roman" w:cs="Times New Roman"/>
          <w:sz w:val="24"/>
          <w:szCs w:val="24"/>
        </w:rPr>
        <w:t xml:space="preserve"> prijenos sredstava iz Zajednički sredstava Ministarstva gospodarstva za projekt </w:t>
      </w:r>
      <w:r w:rsidR="005272E3">
        <w:rPr>
          <w:rFonts w:ascii="Times New Roman" w:hAnsi="Times New Roman" w:cs="Times New Roman"/>
          <w:sz w:val="24"/>
          <w:szCs w:val="24"/>
        </w:rPr>
        <w:t>„</w:t>
      </w:r>
      <w:r w:rsidR="000A4E31" w:rsidRPr="000A4E31">
        <w:rPr>
          <w:rFonts w:ascii="Times New Roman" w:hAnsi="Times New Roman" w:cs="Times New Roman"/>
          <w:sz w:val="24"/>
          <w:szCs w:val="24"/>
        </w:rPr>
        <w:t>Divlji oprašivači</w:t>
      </w:r>
      <w:r w:rsidR="005272E3">
        <w:rPr>
          <w:rFonts w:ascii="Times New Roman" w:hAnsi="Times New Roman" w:cs="Times New Roman"/>
          <w:sz w:val="24"/>
          <w:szCs w:val="24"/>
        </w:rPr>
        <w:t>“</w:t>
      </w:r>
      <w:r w:rsidR="000A4E31" w:rsidRPr="000A4E31">
        <w:rPr>
          <w:rFonts w:ascii="Times New Roman" w:hAnsi="Times New Roman" w:cs="Times New Roman"/>
          <w:sz w:val="24"/>
          <w:szCs w:val="24"/>
        </w:rPr>
        <w:t xml:space="preserve"> u iznosu 61.403 EUR</w:t>
      </w:r>
      <w:r w:rsidR="00B6340D" w:rsidRPr="000A4E31">
        <w:rPr>
          <w:rFonts w:ascii="Times New Roman" w:hAnsi="Times New Roman" w:cs="Times New Roman"/>
          <w:sz w:val="24"/>
          <w:szCs w:val="24"/>
        </w:rPr>
        <w:t xml:space="preserve"> te sredstva uplaćena od strane Ministarstva kulture i medija za sanaciju torpedo baterije na Malom Brijunu u iznosu </w:t>
      </w:r>
      <w:r w:rsidR="000A4E31" w:rsidRPr="000A4E31">
        <w:rPr>
          <w:rFonts w:ascii="Times New Roman" w:hAnsi="Times New Roman" w:cs="Times New Roman"/>
          <w:sz w:val="24"/>
          <w:szCs w:val="24"/>
        </w:rPr>
        <w:t>49.968 EUR</w:t>
      </w:r>
      <w:r w:rsidR="00DE5058">
        <w:rPr>
          <w:rFonts w:ascii="Times New Roman" w:hAnsi="Times New Roman" w:cs="Times New Roman"/>
          <w:sz w:val="24"/>
          <w:szCs w:val="24"/>
        </w:rPr>
        <w:t>.</w:t>
      </w:r>
      <w:r w:rsidR="00111EC8" w:rsidRPr="000A4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014EF" w14:textId="3E063C2E" w:rsidR="002E6C74" w:rsidRPr="000A4E31" w:rsidRDefault="00F73A22" w:rsidP="000A4E31">
      <w:pPr>
        <w:jc w:val="both"/>
        <w:rPr>
          <w:rFonts w:ascii="Times New Roman" w:hAnsi="Times New Roman" w:cs="Times New Roman"/>
          <w:sz w:val="24"/>
          <w:szCs w:val="24"/>
        </w:rPr>
      </w:pPr>
      <w:r w:rsidRPr="000A4E31">
        <w:rPr>
          <w:rFonts w:ascii="Times New Roman" w:hAnsi="Times New Roman" w:cs="Times New Roman"/>
          <w:sz w:val="24"/>
          <w:szCs w:val="24"/>
        </w:rPr>
        <w:t xml:space="preserve">Prihodi od pomoći izvršeni su </w:t>
      </w:r>
      <w:r w:rsidR="008845FD" w:rsidRPr="000A4E31">
        <w:rPr>
          <w:rFonts w:ascii="Times New Roman" w:hAnsi="Times New Roman" w:cs="Times New Roman"/>
          <w:sz w:val="24"/>
          <w:szCs w:val="24"/>
        </w:rPr>
        <w:t>9</w:t>
      </w:r>
      <w:r w:rsidR="008A2C6B">
        <w:rPr>
          <w:rFonts w:ascii="Times New Roman" w:hAnsi="Times New Roman" w:cs="Times New Roman"/>
          <w:sz w:val="24"/>
          <w:szCs w:val="24"/>
        </w:rPr>
        <w:t>0,09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Pr="000A4E31">
        <w:rPr>
          <w:rFonts w:ascii="Times New Roman" w:hAnsi="Times New Roman" w:cs="Times New Roman"/>
          <w:sz w:val="24"/>
          <w:szCs w:val="24"/>
        </w:rPr>
        <w:t>% plana 202</w:t>
      </w:r>
      <w:r w:rsidR="000A4E31">
        <w:rPr>
          <w:rFonts w:ascii="Times New Roman" w:hAnsi="Times New Roman" w:cs="Times New Roman"/>
          <w:sz w:val="24"/>
          <w:szCs w:val="24"/>
        </w:rPr>
        <w:t>4</w:t>
      </w:r>
      <w:r w:rsidRPr="000A4E31">
        <w:rPr>
          <w:rFonts w:ascii="Times New Roman" w:hAnsi="Times New Roman" w:cs="Times New Roman"/>
          <w:sz w:val="24"/>
          <w:szCs w:val="24"/>
        </w:rPr>
        <w:t>. godine.</w:t>
      </w:r>
    </w:p>
    <w:p w14:paraId="559DD0B2" w14:textId="621A2BFD" w:rsidR="00857EF3" w:rsidRPr="00B20562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naplaćeni su u iznosu </w:t>
      </w:r>
      <w:r w:rsidR="00DE5058">
        <w:rPr>
          <w:rFonts w:ascii="Times New Roman" w:hAnsi="Times New Roman" w:cs="Times New Roman"/>
          <w:sz w:val="24"/>
          <w:szCs w:val="24"/>
        </w:rPr>
        <w:t>12.672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DE5058">
        <w:rPr>
          <w:rFonts w:ascii="Times New Roman" w:hAnsi="Times New Roman" w:cs="Times New Roman"/>
          <w:sz w:val="24"/>
          <w:szCs w:val="24"/>
        </w:rPr>
        <w:t xml:space="preserve">EUR i </w:t>
      </w:r>
      <w:r w:rsidRPr="00B20562">
        <w:rPr>
          <w:rFonts w:ascii="Times New Roman" w:hAnsi="Times New Roman" w:cs="Times New Roman"/>
          <w:sz w:val="24"/>
          <w:szCs w:val="24"/>
        </w:rPr>
        <w:t xml:space="preserve">čine </w:t>
      </w:r>
      <w:r w:rsidR="006750E4">
        <w:rPr>
          <w:rFonts w:ascii="Times New Roman" w:hAnsi="Times New Roman" w:cs="Times New Roman"/>
          <w:sz w:val="24"/>
          <w:szCs w:val="24"/>
        </w:rPr>
        <w:t>1</w:t>
      </w:r>
      <w:r w:rsidR="00DE5058">
        <w:rPr>
          <w:rFonts w:ascii="Times New Roman" w:hAnsi="Times New Roman" w:cs="Times New Roman"/>
          <w:sz w:val="24"/>
          <w:szCs w:val="24"/>
        </w:rPr>
        <w:t>5</w:t>
      </w:r>
      <w:r w:rsidR="006750E4">
        <w:rPr>
          <w:rFonts w:ascii="Times New Roman" w:hAnsi="Times New Roman" w:cs="Times New Roman"/>
          <w:sz w:val="24"/>
          <w:szCs w:val="24"/>
        </w:rPr>
        <w:t>,</w:t>
      </w:r>
      <w:r w:rsidR="00DE5058">
        <w:rPr>
          <w:rFonts w:ascii="Times New Roman" w:hAnsi="Times New Roman" w:cs="Times New Roman"/>
          <w:sz w:val="24"/>
          <w:szCs w:val="24"/>
        </w:rPr>
        <w:t>84</w:t>
      </w:r>
      <w:r w:rsidR="00F87417">
        <w:rPr>
          <w:rFonts w:ascii="Times New Roman" w:hAnsi="Times New Roman" w:cs="Times New Roman"/>
          <w:sz w:val="24"/>
          <w:szCs w:val="24"/>
        </w:rPr>
        <w:t xml:space="preserve"> </w:t>
      </w:r>
      <w:r w:rsidRPr="00B20562">
        <w:rPr>
          <w:rFonts w:ascii="Times New Roman" w:hAnsi="Times New Roman" w:cs="Times New Roman"/>
          <w:sz w:val="24"/>
          <w:szCs w:val="24"/>
        </w:rPr>
        <w:t>% planiran</w:t>
      </w:r>
      <w:r w:rsidR="00F87417">
        <w:rPr>
          <w:rFonts w:ascii="Times New Roman" w:hAnsi="Times New Roman" w:cs="Times New Roman"/>
          <w:sz w:val="24"/>
          <w:szCs w:val="24"/>
        </w:rPr>
        <w:t>ih prihoda</w:t>
      </w:r>
      <w:r w:rsidRPr="00B20562">
        <w:rPr>
          <w:rFonts w:ascii="Times New Roman" w:hAnsi="Times New Roman" w:cs="Times New Roman"/>
          <w:sz w:val="24"/>
          <w:szCs w:val="24"/>
        </w:rPr>
        <w:t xml:space="preserve"> u 202</w:t>
      </w:r>
      <w:r w:rsidR="00DE5058">
        <w:rPr>
          <w:rFonts w:ascii="Times New Roman" w:hAnsi="Times New Roman" w:cs="Times New Roman"/>
          <w:sz w:val="24"/>
          <w:szCs w:val="24"/>
        </w:rPr>
        <w:t>4</w:t>
      </w:r>
      <w:r w:rsidRPr="00B20562">
        <w:rPr>
          <w:rFonts w:ascii="Times New Roman" w:hAnsi="Times New Roman" w:cs="Times New Roman"/>
          <w:sz w:val="24"/>
          <w:szCs w:val="24"/>
        </w:rPr>
        <w:t>. godini</w:t>
      </w:r>
      <w:r w:rsidR="006C488D" w:rsidRPr="00B20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99FEE" w14:textId="7FF1A009" w:rsidR="00857EF3" w:rsidRPr="00B20562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5731A" w14:textId="6E34CAFF" w:rsidR="00857EF3" w:rsidRDefault="00857EF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2</w:t>
      </w:r>
      <w:r w:rsidRPr="00B20562">
        <w:rPr>
          <w:rFonts w:ascii="Times New Roman" w:hAnsi="Times New Roman" w:cs="Times New Roman"/>
          <w:sz w:val="24"/>
          <w:szCs w:val="24"/>
        </w:rPr>
        <w:t>. Prihodi prema izvorima financiranja</w:t>
      </w:r>
    </w:p>
    <w:p w14:paraId="5712B7FD" w14:textId="6D207CD6" w:rsidR="0058281F" w:rsidRDefault="0058281F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45279" w14:textId="0E38853C" w:rsidR="00D548DD" w:rsidRPr="00B20562" w:rsidRDefault="00FC173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FC1739">
        <w:rPr>
          <w:noProof/>
        </w:rPr>
        <w:drawing>
          <wp:inline distT="0" distB="0" distL="0" distR="0" wp14:anchorId="5E57D259" wp14:editId="6E5C5AA2">
            <wp:extent cx="5760720" cy="1343660"/>
            <wp:effectExtent l="0" t="0" r="0" b="8890"/>
            <wp:docPr id="146244672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5238A" w14:textId="0C180079" w:rsidR="00C3143C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D548DD">
        <w:rPr>
          <w:rFonts w:ascii="Times New Roman" w:hAnsi="Times New Roman" w:cs="Times New Roman"/>
          <w:sz w:val="24"/>
          <w:szCs w:val="24"/>
        </w:rPr>
        <w:t>1</w:t>
      </w:r>
      <w:r w:rsidR="00FC1739">
        <w:rPr>
          <w:rFonts w:ascii="Times New Roman" w:hAnsi="Times New Roman" w:cs="Times New Roman"/>
          <w:sz w:val="24"/>
          <w:szCs w:val="24"/>
        </w:rPr>
        <w:t>2</w:t>
      </w:r>
      <w:r w:rsidR="00D548DD">
        <w:rPr>
          <w:rFonts w:ascii="Times New Roman" w:hAnsi="Times New Roman" w:cs="Times New Roman"/>
          <w:sz w:val="24"/>
          <w:szCs w:val="24"/>
        </w:rPr>
        <w:t>.</w:t>
      </w:r>
      <w:r w:rsidR="00FC1739">
        <w:rPr>
          <w:rFonts w:ascii="Times New Roman" w:hAnsi="Times New Roman" w:cs="Times New Roman"/>
          <w:sz w:val="24"/>
          <w:szCs w:val="24"/>
        </w:rPr>
        <w:t>324.402</w:t>
      </w:r>
      <w:r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FC1739">
        <w:rPr>
          <w:rFonts w:ascii="Times New Roman" w:hAnsi="Times New Roman" w:cs="Times New Roman"/>
          <w:sz w:val="24"/>
          <w:szCs w:val="24"/>
        </w:rPr>
        <w:t>EUR</w:t>
      </w:r>
      <w:r w:rsidRPr="00B20562">
        <w:rPr>
          <w:rFonts w:ascii="Times New Roman" w:hAnsi="Times New Roman" w:cs="Times New Roman"/>
          <w:sz w:val="24"/>
          <w:szCs w:val="24"/>
        </w:rPr>
        <w:t xml:space="preserve"> najveći iznos </w:t>
      </w:r>
      <w:r w:rsidR="00FC1739">
        <w:rPr>
          <w:rFonts w:ascii="Times New Roman" w:hAnsi="Times New Roman" w:cs="Times New Roman"/>
          <w:sz w:val="24"/>
          <w:szCs w:val="24"/>
        </w:rPr>
        <w:t>6.874.888 EUR</w:t>
      </w:r>
      <w:r w:rsidRPr="00B20562">
        <w:rPr>
          <w:rFonts w:ascii="Times New Roman" w:hAnsi="Times New Roman" w:cs="Times New Roman"/>
          <w:sz w:val="24"/>
          <w:szCs w:val="24"/>
        </w:rPr>
        <w:t xml:space="preserve"> ostvaren je iz izvora financiranja Vlastiti prihodi, dok je iz izvora financiranja Prihodi za posebne namjene ostvareno </w:t>
      </w:r>
      <w:r w:rsidR="00FC1739">
        <w:rPr>
          <w:rFonts w:ascii="Times New Roman" w:hAnsi="Times New Roman" w:cs="Times New Roman"/>
          <w:sz w:val="24"/>
          <w:szCs w:val="24"/>
        </w:rPr>
        <w:t>4.213.064 EUR</w:t>
      </w:r>
      <w:r w:rsidRPr="00B20562">
        <w:rPr>
          <w:rFonts w:ascii="Times New Roman" w:hAnsi="Times New Roman" w:cs="Times New Roman"/>
          <w:sz w:val="24"/>
          <w:szCs w:val="24"/>
        </w:rPr>
        <w:t xml:space="preserve">. Iz izvora pomoći ostvareno je </w:t>
      </w:r>
      <w:r w:rsidR="00FC1739">
        <w:rPr>
          <w:rFonts w:ascii="Times New Roman" w:hAnsi="Times New Roman" w:cs="Times New Roman"/>
          <w:sz w:val="24"/>
          <w:szCs w:val="24"/>
        </w:rPr>
        <w:t>468.283 EUR</w:t>
      </w:r>
      <w:r w:rsidR="00096DA3" w:rsidRPr="00B20562">
        <w:rPr>
          <w:rFonts w:ascii="Times New Roman" w:hAnsi="Times New Roman" w:cs="Times New Roman"/>
          <w:sz w:val="24"/>
          <w:szCs w:val="24"/>
        </w:rPr>
        <w:t xml:space="preserve">, donacija </w:t>
      </w:r>
      <w:r w:rsidR="00FC1739">
        <w:rPr>
          <w:rFonts w:ascii="Times New Roman" w:hAnsi="Times New Roman" w:cs="Times New Roman"/>
          <w:sz w:val="24"/>
          <w:szCs w:val="24"/>
        </w:rPr>
        <w:t>5</w:t>
      </w:r>
      <w:r w:rsidR="00D548DD">
        <w:rPr>
          <w:rFonts w:ascii="Times New Roman" w:hAnsi="Times New Roman" w:cs="Times New Roman"/>
          <w:sz w:val="24"/>
          <w:szCs w:val="24"/>
        </w:rPr>
        <w:t>.</w:t>
      </w:r>
      <w:r w:rsidR="00FC1739">
        <w:rPr>
          <w:rFonts w:ascii="Times New Roman" w:hAnsi="Times New Roman" w:cs="Times New Roman"/>
          <w:sz w:val="24"/>
          <w:szCs w:val="24"/>
        </w:rPr>
        <w:t>495 EUR</w:t>
      </w:r>
      <w:r w:rsidR="00D548DD">
        <w:rPr>
          <w:rFonts w:ascii="Times New Roman" w:hAnsi="Times New Roman" w:cs="Times New Roman"/>
          <w:sz w:val="24"/>
          <w:szCs w:val="24"/>
        </w:rPr>
        <w:t xml:space="preserve">, iz izvora opći prihodi i primici ostvareno je </w:t>
      </w:r>
      <w:r w:rsidR="00FC1739">
        <w:rPr>
          <w:rFonts w:ascii="Times New Roman" w:hAnsi="Times New Roman" w:cs="Times New Roman"/>
          <w:sz w:val="24"/>
          <w:szCs w:val="24"/>
        </w:rPr>
        <w:t>750.000 EUR</w:t>
      </w:r>
      <w:r w:rsidR="00D548DD">
        <w:rPr>
          <w:rFonts w:ascii="Times New Roman" w:hAnsi="Times New Roman" w:cs="Times New Roman"/>
          <w:sz w:val="24"/>
          <w:szCs w:val="24"/>
        </w:rPr>
        <w:t>,</w:t>
      </w:r>
      <w:r w:rsidRPr="00B20562">
        <w:rPr>
          <w:rFonts w:ascii="Times New Roman" w:hAnsi="Times New Roman" w:cs="Times New Roman"/>
          <w:sz w:val="24"/>
          <w:szCs w:val="24"/>
        </w:rPr>
        <w:t xml:space="preserve"> iz izvora financiranja Prihodi od nefinancijske imovine </w:t>
      </w:r>
      <w:r w:rsidR="00D548DD">
        <w:rPr>
          <w:rFonts w:ascii="Times New Roman" w:hAnsi="Times New Roman" w:cs="Times New Roman"/>
          <w:sz w:val="24"/>
          <w:szCs w:val="24"/>
        </w:rPr>
        <w:t>1</w:t>
      </w:r>
      <w:r w:rsidR="00FC1739">
        <w:rPr>
          <w:rFonts w:ascii="Times New Roman" w:hAnsi="Times New Roman" w:cs="Times New Roman"/>
          <w:sz w:val="24"/>
          <w:szCs w:val="24"/>
        </w:rPr>
        <w:t>2</w:t>
      </w:r>
      <w:r w:rsidR="00D548DD">
        <w:rPr>
          <w:rFonts w:ascii="Times New Roman" w:hAnsi="Times New Roman" w:cs="Times New Roman"/>
          <w:sz w:val="24"/>
          <w:szCs w:val="24"/>
        </w:rPr>
        <w:t>.</w:t>
      </w:r>
      <w:r w:rsidR="00FC1739">
        <w:rPr>
          <w:rFonts w:ascii="Times New Roman" w:hAnsi="Times New Roman" w:cs="Times New Roman"/>
          <w:sz w:val="24"/>
          <w:szCs w:val="24"/>
        </w:rPr>
        <w:t>672</w:t>
      </w:r>
      <w:r w:rsidR="00F56B4A">
        <w:rPr>
          <w:rFonts w:ascii="Times New Roman" w:hAnsi="Times New Roman" w:cs="Times New Roman"/>
          <w:sz w:val="24"/>
          <w:szCs w:val="24"/>
        </w:rPr>
        <w:t xml:space="preserve"> </w:t>
      </w:r>
      <w:r w:rsidR="00FC1739">
        <w:rPr>
          <w:rFonts w:ascii="Times New Roman" w:hAnsi="Times New Roman" w:cs="Times New Roman"/>
          <w:sz w:val="24"/>
          <w:szCs w:val="24"/>
        </w:rPr>
        <w:t>EUR</w:t>
      </w:r>
      <w:r w:rsidRPr="00B20562">
        <w:rPr>
          <w:rFonts w:ascii="Times New Roman" w:hAnsi="Times New Roman" w:cs="Times New Roman"/>
          <w:sz w:val="24"/>
          <w:szCs w:val="24"/>
        </w:rPr>
        <w:t>.</w:t>
      </w:r>
    </w:p>
    <w:p w14:paraId="01FDDE23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2659D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CC05B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7AEBE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9BA79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3BDE3" w14:textId="77777777" w:rsidR="00F50C3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AE58" w14:textId="77777777" w:rsidR="00F50C32" w:rsidRPr="00B20562" w:rsidRDefault="00F50C3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C8AAF" w14:textId="47EC853B" w:rsidR="00EE7B3A" w:rsidRPr="00B20562" w:rsidRDefault="00EE7B3A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</w:p>
    <w:p w14:paraId="57C00591" w14:textId="4BAB5582" w:rsidR="00EE7B3A" w:rsidRDefault="00EE7B3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3</w:t>
      </w:r>
      <w:r w:rsidRPr="00B20562">
        <w:rPr>
          <w:rFonts w:ascii="Times New Roman" w:hAnsi="Times New Roman" w:cs="Times New Roman"/>
          <w:sz w:val="24"/>
          <w:szCs w:val="24"/>
        </w:rPr>
        <w:t>. Rashodi prema ekonomskoj klasifikaciji</w:t>
      </w:r>
    </w:p>
    <w:p w14:paraId="575FCC1D" w14:textId="42C44EBB" w:rsidR="00451BDC" w:rsidRPr="00B20562" w:rsidRDefault="00451BDC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81EDD" w14:textId="33584DB1" w:rsidR="00563FC5" w:rsidRPr="00B20562" w:rsidRDefault="0027257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272578">
        <w:rPr>
          <w:noProof/>
        </w:rPr>
        <w:drawing>
          <wp:inline distT="0" distB="0" distL="0" distR="0" wp14:anchorId="33A5FE7E" wp14:editId="5AE94D23">
            <wp:extent cx="5760720" cy="1430020"/>
            <wp:effectExtent l="0" t="0" r="0" b="0"/>
            <wp:docPr id="19110510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0C0A" w14:textId="763CC376" w:rsidR="002D19DB" w:rsidRPr="00B20562" w:rsidRDefault="003403F0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A055B6">
        <w:rPr>
          <w:rFonts w:ascii="Times New Roman" w:hAnsi="Times New Roman" w:cs="Times New Roman"/>
          <w:sz w:val="24"/>
          <w:szCs w:val="24"/>
        </w:rPr>
        <w:t>1</w:t>
      </w:r>
      <w:r w:rsidR="00C373B2">
        <w:rPr>
          <w:rFonts w:ascii="Times New Roman" w:hAnsi="Times New Roman" w:cs="Times New Roman"/>
          <w:sz w:val="24"/>
          <w:szCs w:val="24"/>
        </w:rPr>
        <w:t>3</w:t>
      </w:r>
      <w:r w:rsidR="00A055B6">
        <w:rPr>
          <w:rFonts w:ascii="Times New Roman" w:hAnsi="Times New Roman" w:cs="Times New Roman"/>
          <w:sz w:val="24"/>
          <w:szCs w:val="24"/>
        </w:rPr>
        <w:t>.</w:t>
      </w:r>
      <w:r w:rsidR="00C373B2">
        <w:rPr>
          <w:rFonts w:ascii="Times New Roman" w:hAnsi="Times New Roman" w:cs="Times New Roman"/>
          <w:sz w:val="24"/>
          <w:szCs w:val="24"/>
        </w:rPr>
        <w:t>739</w:t>
      </w:r>
      <w:r w:rsidR="00A055B6">
        <w:rPr>
          <w:rFonts w:ascii="Times New Roman" w:hAnsi="Times New Roman" w:cs="Times New Roman"/>
          <w:sz w:val="24"/>
          <w:szCs w:val="24"/>
        </w:rPr>
        <w:t>.</w:t>
      </w:r>
      <w:r w:rsidR="00C373B2">
        <w:rPr>
          <w:rFonts w:ascii="Times New Roman" w:hAnsi="Times New Roman" w:cs="Times New Roman"/>
          <w:sz w:val="24"/>
          <w:szCs w:val="24"/>
        </w:rPr>
        <w:t>157</w:t>
      </w:r>
      <w:r w:rsidR="00FD21CC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C373B2">
        <w:rPr>
          <w:rFonts w:ascii="Times New Roman" w:hAnsi="Times New Roman" w:cs="Times New Roman"/>
          <w:sz w:val="24"/>
          <w:szCs w:val="24"/>
        </w:rPr>
        <w:t>EUR</w:t>
      </w:r>
      <w:r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FD6C6F" w:rsidRPr="00B20562">
        <w:rPr>
          <w:rFonts w:ascii="Times New Roman" w:hAnsi="Times New Roman" w:cs="Times New Roman"/>
          <w:sz w:val="24"/>
          <w:szCs w:val="24"/>
        </w:rPr>
        <w:t xml:space="preserve">što čini izvršenje ukupno planiranih rashoda 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od </w:t>
      </w:r>
      <w:r w:rsidR="00C373B2">
        <w:rPr>
          <w:rFonts w:ascii="Times New Roman" w:hAnsi="Times New Roman" w:cs="Times New Roman"/>
          <w:sz w:val="24"/>
          <w:szCs w:val="24"/>
        </w:rPr>
        <w:t>10</w:t>
      </w:r>
      <w:r w:rsidR="00322583">
        <w:rPr>
          <w:rFonts w:ascii="Times New Roman" w:hAnsi="Times New Roman" w:cs="Times New Roman"/>
          <w:sz w:val="24"/>
          <w:szCs w:val="24"/>
        </w:rPr>
        <w:t>5,1</w:t>
      </w:r>
      <w:r w:rsidR="00C373B2">
        <w:rPr>
          <w:rFonts w:ascii="Times New Roman" w:hAnsi="Times New Roman" w:cs="Times New Roman"/>
          <w:sz w:val="24"/>
          <w:szCs w:val="24"/>
        </w:rPr>
        <w:t>1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FD6C6F" w:rsidRPr="00B20562">
        <w:rPr>
          <w:rFonts w:ascii="Times New Roman" w:hAnsi="Times New Roman" w:cs="Times New Roman"/>
          <w:sz w:val="24"/>
          <w:szCs w:val="24"/>
        </w:rPr>
        <w:t>%. R</w:t>
      </w:r>
      <w:r w:rsidRPr="00B20562">
        <w:rPr>
          <w:rFonts w:ascii="Times New Roman" w:hAnsi="Times New Roman" w:cs="Times New Roman"/>
          <w:sz w:val="24"/>
          <w:szCs w:val="24"/>
        </w:rPr>
        <w:t xml:space="preserve">ashodi poslovanja iznose </w:t>
      </w:r>
      <w:r w:rsidR="00A055B6">
        <w:rPr>
          <w:rFonts w:ascii="Times New Roman" w:hAnsi="Times New Roman" w:cs="Times New Roman"/>
          <w:sz w:val="24"/>
          <w:szCs w:val="24"/>
        </w:rPr>
        <w:t>13</w:t>
      </w:r>
      <w:r w:rsidR="00C373B2">
        <w:rPr>
          <w:rFonts w:ascii="Times New Roman" w:hAnsi="Times New Roman" w:cs="Times New Roman"/>
          <w:sz w:val="24"/>
          <w:szCs w:val="24"/>
        </w:rPr>
        <w:t>.375.131 EUR</w:t>
      </w:r>
      <w:r w:rsidR="00FD6C6F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odnosno </w:t>
      </w:r>
      <w:r w:rsidR="00A055B6">
        <w:rPr>
          <w:rFonts w:ascii="Times New Roman" w:hAnsi="Times New Roman" w:cs="Times New Roman"/>
          <w:sz w:val="24"/>
          <w:szCs w:val="24"/>
        </w:rPr>
        <w:t>10</w:t>
      </w:r>
      <w:r w:rsidR="00C373B2">
        <w:rPr>
          <w:rFonts w:ascii="Times New Roman" w:hAnsi="Times New Roman" w:cs="Times New Roman"/>
          <w:sz w:val="24"/>
          <w:szCs w:val="24"/>
        </w:rPr>
        <w:t>6,39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B20562">
        <w:rPr>
          <w:rFonts w:ascii="Times New Roman" w:hAnsi="Times New Roman" w:cs="Times New Roman"/>
          <w:sz w:val="24"/>
          <w:szCs w:val="24"/>
        </w:rPr>
        <w:t>% planiranih rashoda poslovanja u 202</w:t>
      </w:r>
      <w:r w:rsidR="00C373B2">
        <w:rPr>
          <w:rFonts w:ascii="Times New Roman" w:hAnsi="Times New Roman" w:cs="Times New Roman"/>
          <w:sz w:val="24"/>
          <w:szCs w:val="24"/>
        </w:rPr>
        <w:t>4</w:t>
      </w:r>
      <w:r w:rsidR="003755A1" w:rsidRPr="00B20562">
        <w:rPr>
          <w:rFonts w:ascii="Times New Roman" w:hAnsi="Times New Roman" w:cs="Times New Roman"/>
          <w:sz w:val="24"/>
          <w:szCs w:val="24"/>
        </w:rPr>
        <w:t xml:space="preserve">. godini i u odnosu na prethodnu godinu povećani su za </w:t>
      </w:r>
      <w:r w:rsidR="00C373B2">
        <w:rPr>
          <w:rFonts w:ascii="Times New Roman" w:hAnsi="Times New Roman" w:cs="Times New Roman"/>
          <w:sz w:val="24"/>
          <w:szCs w:val="24"/>
        </w:rPr>
        <w:t>22,28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755A1" w:rsidRPr="00B20562">
        <w:rPr>
          <w:rFonts w:ascii="Times New Roman" w:hAnsi="Times New Roman" w:cs="Times New Roman"/>
          <w:sz w:val="24"/>
          <w:szCs w:val="24"/>
        </w:rPr>
        <w:t>%</w:t>
      </w:r>
      <w:r w:rsidR="005214F8" w:rsidRPr="00B20562">
        <w:rPr>
          <w:rFonts w:ascii="Times New Roman" w:hAnsi="Times New Roman" w:cs="Times New Roman"/>
          <w:sz w:val="24"/>
          <w:szCs w:val="24"/>
        </w:rPr>
        <w:t xml:space="preserve">, dok su </w:t>
      </w:r>
      <w:r w:rsidRPr="00B20562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5214F8" w:rsidRPr="00B20562">
        <w:rPr>
          <w:rFonts w:ascii="Times New Roman" w:hAnsi="Times New Roman" w:cs="Times New Roman"/>
          <w:sz w:val="24"/>
          <w:szCs w:val="24"/>
        </w:rPr>
        <w:t xml:space="preserve">izvršeni u iznosu </w:t>
      </w:r>
      <w:r w:rsidR="00A055B6">
        <w:rPr>
          <w:rFonts w:ascii="Times New Roman" w:hAnsi="Times New Roman" w:cs="Times New Roman"/>
          <w:sz w:val="24"/>
          <w:szCs w:val="24"/>
        </w:rPr>
        <w:t>3</w:t>
      </w:r>
      <w:r w:rsidR="00C373B2">
        <w:rPr>
          <w:rFonts w:ascii="Times New Roman" w:hAnsi="Times New Roman" w:cs="Times New Roman"/>
          <w:sz w:val="24"/>
          <w:szCs w:val="24"/>
        </w:rPr>
        <w:t>64.026</w:t>
      </w:r>
      <w:r w:rsidR="00A055B6">
        <w:rPr>
          <w:rFonts w:ascii="Times New Roman" w:hAnsi="Times New Roman" w:cs="Times New Roman"/>
          <w:sz w:val="24"/>
          <w:szCs w:val="24"/>
        </w:rPr>
        <w:t xml:space="preserve"> </w:t>
      </w:r>
      <w:r w:rsidR="00C373B2">
        <w:rPr>
          <w:rFonts w:ascii="Times New Roman" w:hAnsi="Times New Roman" w:cs="Times New Roman"/>
          <w:sz w:val="24"/>
          <w:szCs w:val="24"/>
        </w:rPr>
        <w:t>EUR</w:t>
      </w:r>
      <w:r w:rsidR="004E6FB1" w:rsidRPr="00B20562">
        <w:rPr>
          <w:rFonts w:ascii="Times New Roman" w:hAnsi="Times New Roman" w:cs="Times New Roman"/>
          <w:sz w:val="24"/>
          <w:szCs w:val="24"/>
        </w:rPr>
        <w:t xml:space="preserve"> odnosno </w:t>
      </w:r>
      <w:r w:rsidR="00C373B2">
        <w:rPr>
          <w:rFonts w:ascii="Times New Roman" w:hAnsi="Times New Roman" w:cs="Times New Roman"/>
          <w:sz w:val="24"/>
          <w:szCs w:val="24"/>
        </w:rPr>
        <w:t>80,81</w:t>
      </w:r>
      <w:r w:rsidR="004E6FB1" w:rsidRPr="00B20562">
        <w:rPr>
          <w:rFonts w:ascii="Times New Roman" w:hAnsi="Times New Roman" w:cs="Times New Roman"/>
          <w:sz w:val="24"/>
          <w:szCs w:val="24"/>
        </w:rPr>
        <w:t>% planiranih rashoda</w:t>
      </w:r>
      <w:r w:rsidR="004E6332">
        <w:rPr>
          <w:rFonts w:ascii="Times New Roman" w:hAnsi="Times New Roman" w:cs="Times New Roman"/>
          <w:sz w:val="24"/>
          <w:szCs w:val="24"/>
        </w:rPr>
        <w:t xml:space="preserve"> i</w:t>
      </w:r>
      <w:r w:rsidR="00A055B6">
        <w:rPr>
          <w:rFonts w:ascii="Times New Roman" w:hAnsi="Times New Roman" w:cs="Times New Roman"/>
          <w:sz w:val="24"/>
          <w:szCs w:val="24"/>
        </w:rPr>
        <w:t xml:space="preserve"> manji </w:t>
      </w:r>
      <w:r w:rsidR="004E6332">
        <w:rPr>
          <w:rFonts w:ascii="Times New Roman" w:hAnsi="Times New Roman" w:cs="Times New Roman"/>
          <w:sz w:val="24"/>
          <w:szCs w:val="24"/>
        </w:rPr>
        <w:t xml:space="preserve">su </w:t>
      </w:r>
      <w:r w:rsidR="00A055B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4E6332">
        <w:rPr>
          <w:rFonts w:ascii="Times New Roman" w:hAnsi="Times New Roman" w:cs="Times New Roman"/>
          <w:sz w:val="24"/>
          <w:szCs w:val="24"/>
        </w:rPr>
        <w:t>ostvaren</w:t>
      </w:r>
      <w:r w:rsidR="00A055B6">
        <w:rPr>
          <w:rFonts w:ascii="Times New Roman" w:hAnsi="Times New Roman" w:cs="Times New Roman"/>
          <w:sz w:val="24"/>
          <w:szCs w:val="24"/>
        </w:rPr>
        <w:t>o</w:t>
      </w:r>
      <w:r w:rsidR="004E6332">
        <w:rPr>
          <w:rFonts w:ascii="Times New Roman" w:hAnsi="Times New Roman" w:cs="Times New Roman"/>
          <w:sz w:val="24"/>
          <w:szCs w:val="24"/>
        </w:rPr>
        <w:t xml:space="preserve"> u istom razdoblju prethodne godine</w:t>
      </w:r>
      <w:r w:rsidR="00A055B6">
        <w:rPr>
          <w:rFonts w:ascii="Times New Roman" w:hAnsi="Times New Roman" w:cs="Times New Roman"/>
          <w:sz w:val="24"/>
          <w:szCs w:val="24"/>
        </w:rPr>
        <w:t xml:space="preserve"> za </w:t>
      </w:r>
      <w:r w:rsidR="00C373B2">
        <w:rPr>
          <w:rFonts w:ascii="Times New Roman" w:hAnsi="Times New Roman" w:cs="Times New Roman"/>
          <w:sz w:val="24"/>
          <w:szCs w:val="24"/>
        </w:rPr>
        <w:t>6,30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A055B6">
        <w:rPr>
          <w:rFonts w:ascii="Times New Roman" w:hAnsi="Times New Roman" w:cs="Times New Roman"/>
          <w:sz w:val="24"/>
          <w:szCs w:val="24"/>
        </w:rPr>
        <w:t>%</w:t>
      </w:r>
      <w:r w:rsidR="004E6332">
        <w:rPr>
          <w:rFonts w:ascii="Times New Roman" w:hAnsi="Times New Roman" w:cs="Times New Roman"/>
          <w:sz w:val="24"/>
          <w:szCs w:val="24"/>
        </w:rPr>
        <w:t>.</w:t>
      </w:r>
    </w:p>
    <w:p w14:paraId="579D527A" w14:textId="7F8CB430" w:rsidR="00B977F4" w:rsidRPr="00B20562" w:rsidRDefault="004E6FB1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 strukturi rashoda poslovanja 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rashodi za zaposlene izvršeni su u iznosu </w:t>
      </w:r>
      <w:r w:rsidR="00C373B2">
        <w:rPr>
          <w:rFonts w:ascii="Times New Roman" w:hAnsi="Times New Roman" w:cs="Times New Roman"/>
          <w:sz w:val="24"/>
          <w:szCs w:val="24"/>
        </w:rPr>
        <w:t>8.057.947 EUR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 odnosno </w:t>
      </w:r>
      <w:r w:rsidR="006F4245">
        <w:rPr>
          <w:rFonts w:ascii="Times New Roman" w:hAnsi="Times New Roman" w:cs="Times New Roman"/>
          <w:sz w:val="24"/>
          <w:szCs w:val="24"/>
        </w:rPr>
        <w:t>1</w:t>
      </w:r>
      <w:r w:rsidR="00C373B2">
        <w:rPr>
          <w:rFonts w:ascii="Times New Roman" w:hAnsi="Times New Roman" w:cs="Times New Roman"/>
          <w:sz w:val="24"/>
          <w:szCs w:val="24"/>
        </w:rPr>
        <w:t>0</w:t>
      </w:r>
      <w:r w:rsidR="00322583">
        <w:rPr>
          <w:rFonts w:ascii="Times New Roman" w:hAnsi="Times New Roman" w:cs="Times New Roman"/>
          <w:sz w:val="24"/>
          <w:szCs w:val="24"/>
        </w:rPr>
        <w:t>9</w:t>
      </w:r>
      <w:r w:rsidR="00C373B2">
        <w:rPr>
          <w:rFonts w:ascii="Times New Roman" w:hAnsi="Times New Roman" w:cs="Times New Roman"/>
          <w:sz w:val="24"/>
          <w:szCs w:val="24"/>
        </w:rPr>
        <w:t>,</w:t>
      </w:r>
      <w:r w:rsidR="00322583">
        <w:rPr>
          <w:rFonts w:ascii="Times New Roman" w:hAnsi="Times New Roman" w:cs="Times New Roman"/>
          <w:sz w:val="24"/>
          <w:szCs w:val="24"/>
        </w:rPr>
        <w:t>7</w:t>
      </w:r>
      <w:r w:rsidR="00C373B2">
        <w:rPr>
          <w:rFonts w:ascii="Times New Roman" w:hAnsi="Times New Roman" w:cs="Times New Roman"/>
          <w:sz w:val="24"/>
          <w:szCs w:val="24"/>
        </w:rPr>
        <w:t>1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% planiranih rashoda za zaposlene što čini povećanje od </w:t>
      </w:r>
      <w:r w:rsidR="00322583">
        <w:rPr>
          <w:rFonts w:ascii="Times New Roman" w:hAnsi="Times New Roman" w:cs="Times New Roman"/>
          <w:sz w:val="24"/>
          <w:szCs w:val="24"/>
        </w:rPr>
        <w:t>37,26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C373B2">
        <w:rPr>
          <w:rFonts w:ascii="Times New Roman" w:hAnsi="Times New Roman" w:cs="Times New Roman"/>
          <w:sz w:val="24"/>
          <w:szCs w:val="24"/>
        </w:rPr>
        <w:t>%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 u odnosu na isto razdoblje prethodne godine.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Povećanje rashoda za zaposlene posljedica je porasta troškova plaća </w:t>
      </w:r>
      <w:r w:rsidR="000A6DF6">
        <w:rPr>
          <w:rFonts w:ascii="Times New Roman" w:hAnsi="Times New Roman" w:cs="Times New Roman"/>
          <w:sz w:val="24"/>
          <w:szCs w:val="24"/>
        </w:rPr>
        <w:t>nastala stupanjem na snagu</w:t>
      </w:r>
      <w:r w:rsidR="00C373B2">
        <w:rPr>
          <w:rFonts w:ascii="Times New Roman" w:hAnsi="Times New Roman" w:cs="Times New Roman"/>
          <w:sz w:val="24"/>
          <w:szCs w:val="24"/>
        </w:rPr>
        <w:t xml:space="preserve"> </w:t>
      </w:r>
      <w:r w:rsidR="000A6DF6" w:rsidRPr="000A6DF6">
        <w:rPr>
          <w:rFonts w:ascii="Times New Roman" w:hAnsi="Times New Roman" w:cs="Times New Roman"/>
          <w:sz w:val="24"/>
          <w:szCs w:val="24"/>
        </w:rPr>
        <w:t>Zakona o plaćama u državnoj i javnim službama i Uredbe o nazivu radnih mjesta, uvjetima za raspored i koeficijentima za obračun plaće u javnim službama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i porasta broja zaposlenih.</w:t>
      </w:r>
    </w:p>
    <w:p w14:paraId="06F78319" w14:textId="2856D239" w:rsidR="00F06623" w:rsidRPr="00B20562" w:rsidRDefault="00B977F4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M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aterijalni rashodi ostvareni su u iznosu </w:t>
      </w:r>
      <w:r w:rsidR="00EB4954">
        <w:rPr>
          <w:rFonts w:ascii="Times New Roman" w:hAnsi="Times New Roman" w:cs="Times New Roman"/>
          <w:sz w:val="24"/>
          <w:szCs w:val="24"/>
        </w:rPr>
        <w:t>5.208.590 EUR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EB4954">
        <w:rPr>
          <w:rFonts w:ascii="Times New Roman" w:hAnsi="Times New Roman" w:cs="Times New Roman"/>
          <w:sz w:val="24"/>
          <w:szCs w:val="24"/>
        </w:rPr>
        <w:t>101,62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A159DA" w:rsidRPr="00B20562">
        <w:rPr>
          <w:rFonts w:ascii="Times New Roman" w:hAnsi="Times New Roman" w:cs="Times New Roman"/>
          <w:sz w:val="24"/>
          <w:szCs w:val="24"/>
        </w:rPr>
        <w:t xml:space="preserve">% planiranih materijalnih rashoda i povećanje od </w:t>
      </w:r>
      <w:r w:rsidR="00EB4954">
        <w:rPr>
          <w:rFonts w:ascii="Times New Roman" w:hAnsi="Times New Roman" w:cs="Times New Roman"/>
          <w:sz w:val="24"/>
          <w:szCs w:val="24"/>
        </w:rPr>
        <w:t>6,62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A159DA" w:rsidRPr="00B20562">
        <w:rPr>
          <w:rFonts w:ascii="Times New Roman" w:hAnsi="Times New Roman" w:cs="Times New Roman"/>
          <w:sz w:val="24"/>
          <w:szCs w:val="24"/>
        </w:rPr>
        <w:t>% u odnosu na prethodnu godinu.</w:t>
      </w:r>
    </w:p>
    <w:p w14:paraId="40A32683" w14:textId="25CB96A5" w:rsidR="004E6FB1" w:rsidRPr="00B20562" w:rsidRDefault="00A159DA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Strukturu materijalnih rashoda čine 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naknade troškova zaposlenima u iznosu </w:t>
      </w:r>
      <w:r w:rsidR="003632C6">
        <w:rPr>
          <w:rFonts w:ascii="Times New Roman" w:hAnsi="Times New Roman" w:cs="Times New Roman"/>
          <w:sz w:val="24"/>
          <w:szCs w:val="24"/>
        </w:rPr>
        <w:t>273.3</w:t>
      </w:r>
      <w:r w:rsidR="00B84394">
        <w:rPr>
          <w:rFonts w:ascii="Times New Roman" w:hAnsi="Times New Roman" w:cs="Times New Roman"/>
          <w:sz w:val="24"/>
          <w:szCs w:val="24"/>
        </w:rPr>
        <w:t>8</w:t>
      </w:r>
      <w:r w:rsidR="003632C6">
        <w:rPr>
          <w:rFonts w:ascii="Times New Roman" w:hAnsi="Times New Roman" w:cs="Times New Roman"/>
          <w:sz w:val="24"/>
          <w:szCs w:val="24"/>
        </w:rPr>
        <w:t>3 EUR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rashodi za materijal i energiju u iznosu od </w:t>
      </w:r>
      <w:r w:rsidR="006F4245">
        <w:rPr>
          <w:rFonts w:ascii="Times New Roman" w:hAnsi="Times New Roman" w:cs="Times New Roman"/>
          <w:sz w:val="24"/>
          <w:szCs w:val="24"/>
        </w:rPr>
        <w:t>1.99</w:t>
      </w:r>
      <w:r w:rsidR="003632C6">
        <w:rPr>
          <w:rFonts w:ascii="Times New Roman" w:hAnsi="Times New Roman" w:cs="Times New Roman"/>
          <w:sz w:val="24"/>
          <w:szCs w:val="24"/>
        </w:rPr>
        <w:t>0</w:t>
      </w:r>
      <w:r w:rsidR="006F4245">
        <w:rPr>
          <w:rFonts w:ascii="Times New Roman" w:hAnsi="Times New Roman" w:cs="Times New Roman"/>
          <w:sz w:val="24"/>
          <w:szCs w:val="24"/>
        </w:rPr>
        <w:t>.</w:t>
      </w:r>
      <w:r w:rsidR="003632C6">
        <w:rPr>
          <w:rFonts w:ascii="Times New Roman" w:hAnsi="Times New Roman" w:cs="Times New Roman"/>
          <w:sz w:val="24"/>
          <w:szCs w:val="24"/>
        </w:rPr>
        <w:t>702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3632C6">
        <w:rPr>
          <w:rFonts w:ascii="Times New Roman" w:hAnsi="Times New Roman" w:cs="Times New Roman"/>
          <w:sz w:val="24"/>
          <w:szCs w:val="24"/>
        </w:rPr>
        <w:t>EUR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rashodi za usluge u iznosu </w:t>
      </w:r>
      <w:r w:rsidR="00034177">
        <w:rPr>
          <w:rFonts w:ascii="Times New Roman" w:hAnsi="Times New Roman" w:cs="Times New Roman"/>
          <w:sz w:val="24"/>
          <w:szCs w:val="24"/>
        </w:rPr>
        <w:t>2.438.234 EUR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, naknade troškova osobama izvan radnog odnosa u iznosu </w:t>
      </w:r>
      <w:r w:rsidR="006F4245">
        <w:rPr>
          <w:rFonts w:ascii="Times New Roman" w:hAnsi="Times New Roman" w:cs="Times New Roman"/>
          <w:sz w:val="24"/>
          <w:szCs w:val="24"/>
        </w:rPr>
        <w:t>15</w:t>
      </w:r>
      <w:r w:rsidR="00034177">
        <w:rPr>
          <w:rFonts w:ascii="Times New Roman" w:hAnsi="Times New Roman" w:cs="Times New Roman"/>
          <w:sz w:val="24"/>
          <w:szCs w:val="24"/>
        </w:rPr>
        <w:t>4 EUR</w:t>
      </w:r>
      <w:r w:rsidR="00B977F4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F06623" w:rsidRPr="00B20562">
        <w:rPr>
          <w:rFonts w:ascii="Times New Roman" w:hAnsi="Times New Roman" w:cs="Times New Roman"/>
          <w:sz w:val="24"/>
          <w:szCs w:val="24"/>
        </w:rPr>
        <w:t xml:space="preserve">i ostali nespomenuti rashodi poslovanja u iznosu </w:t>
      </w:r>
      <w:r w:rsidR="00034177">
        <w:rPr>
          <w:rFonts w:ascii="Times New Roman" w:hAnsi="Times New Roman" w:cs="Times New Roman"/>
          <w:sz w:val="24"/>
          <w:szCs w:val="24"/>
        </w:rPr>
        <w:t>506.118 EUR</w:t>
      </w:r>
      <w:r w:rsidR="00F06623" w:rsidRPr="00B20562">
        <w:rPr>
          <w:rFonts w:ascii="Times New Roman" w:hAnsi="Times New Roman" w:cs="Times New Roman"/>
          <w:sz w:val="24"/>
          <w:szCs w:val="24"/>
        </w:rPr>
        <w:t>.</w:t>
      </w:r>
      <w:r w:rsidR="00E5686E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1C48CB" w:rsidRPr="00B20562">
        <w:rPr>
          <w:rFonts w:ascii="Times New Roman" w:hAnsi="Times New Roman" w:cs="Times New Roman"/>
          <w:sz w:val="24"/>
          <w:szCs w:val="24"/>
        </w:rPr>
        <w:t xml:space="preserve">Najznačajnije povećanje </w:t>
      </w:r>
      <w:r w:rsidR="00ED70B3" w:rsidRPr="00B20562">
        <w:rPr>
          <w:rFonts w:ascii="Times New Roman" w:hAnsi="Times New Roman" w:cs="Times New Roman"/>
          <w:sz w:val="24"/>
          <w:szCs w:val="24"/>
        </w:rPr>
        <w:t xml:space="preserve">materijalnih rashoda </w:t>
      </w:r>
      <w:r w:rsidR="00AF5319">
        <w:rPr>
          <w:rFonts w:ascii="Times New Roman" w:hAnsi="Times New Roman" w:cs="Times New Roman"/>
          <w:sz w:val="24"/>
          <w:szCs w:val="24"/>
        </w:rPr>
        <w:t>u odnosu na prethodnu godinu, ostvareno</w:t>
      </w:r>
      <w:r w:rsidR="00ED70B3" w:rsidRPr="00B20562">
        <w:rPr>
          <w:rFonts w:ascii="Times New Roman" w:hAnsi="Times New Roman" w:cs="Times New Roman"/>
          <w:sz w:val="24"/>
          <w:szCs w:val="24"/>
        </w:rPr>
        <w:t xml:space="preserve"> je u okviru </w:t>
      </w:r>
      <w:r w:rsidR="00034177">
        <w:rPr>
          <w:rFonts w:ascii="Times New Roman" w:hAnsi="Times New Roman" w:cs="Times New Roman"/>
          <w:sz w:val="24"/>
          <w:szCs w:val="24"/>
        </w:rPr>
        <w:t>naknada troškova zaposlenima</w:t>
      </w:r>
      <w:r w:rsidR="00456731">
        <w:rPr>
          <w:rFonts w:ascii="Times New Roman" w:hAnsi="Times New Roman" w:cs="Times New Roman"/>
          <w:sz w:val="24"/>
          <w:szCs w:val="24"/>
        </w:rPr>
        <w:t xml:space="preserve"> </w:t>
      </w:r>
      <w:r w:rsidR="00034177">
        <w:rPr>
          <w:rFonts w:ascii="Times New Roman" w:hAnsi="Times New Roman" w:cs="Times New Roman"/>
          <w:sz w:val="24"/>
          <w:szCs w:val="24"/>
        </w:rPr>
        <w:t>28,01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ED70B3" w:rsidRPr="00B20562">
        <w:rPr>
          <w:rFonts w:ascii="Times New Roman" w:hAnsi="Times New Roman" w:cs="Times New Roman"/>
          <w:sz w:val="24"/>
          <w:szCs w:val="24"/>
        </w:rPr>
        <w:t>% ili</w:t>
      </w:r>
      <w:r w:rsidR="00034177">
        <w:rPr>
          <w:rFonts w:ascii="Times New Roman" w:hAnsi="Times New Roman" w:cs="Times New Roman"/>
          <w:sz w:val="24"/>
          <w:szCs w:val="24"/>
        </w:rPr>
        <w:t xml:space="preserve"> 59.816 EUR</w:t>
      </w:r>
      <w:r w:rsidR="00ED70B3" w:rsidRPr="00B20562">
        <w:rPr>
          <w:rFonts w:ascii="Times New Roman" w:hAnsi="Times New Roman" w:cs="Times New Roman"/>
          <w:sz w:val="24"/>
          <w:szCs w:val="24"/>
        </w:rPr>
        <w:t>.</w:t>
      </w:r>
      <w:r w:rsidR="00727083" w:rsidRPr="00B20562">
        <w:rPr>
          <w:rFonts w:ascii="Times New Roman" w:hAnsi="Times New Roman" w:cs="Times New Roman"/>
          <w:sz w:val="24"/>
          <w:szCs w:val="24"/>
        </w:rPr>
        <w:t xml:space="preserve"> Navedeno povećanje rashoda odnosi se u najvećem dijelu na povećanje troškova</w:t>
      </w:r>
      <w:r w:rsidR="00034177">
        <w:rPr>
          <w:rFonts w:ascii="Times New Roman" w:hAnsi="Times New Roman" w:cs="Times New Roman"/>
          <w:sz w:val="24"/>
          <w:szCs w:val="24"/>
        </w:rPr>
        <w:t xml:space="preserve"> za službena putovanja i stručno usavršavanje zaposlenika</w:t>
      </w:r>
      <w:r w:rsidR="006F4245">
        <w:rPr>
          <w:rFonts w:ascii="Times New Roman" w:hAnsi="Times New Roman" w:cs="Times New Roman"/>
          <w:sz w:val="24"/>
          <w:szCs w:val="24"/>
        </w:rPr>
        <w:t>.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2B1B" w14:textId="6F5401AC" w:rsidR="00ED70B3" w:rsidRPr="00B20562" w:rsidRDefault="00ED70B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Financijski rashodi ostvareni su u iznosu </w:t>
      </w:r>
      <w:r w:rsidR="00456731">
        <w:rPr>
          <w:rFonts w:ascii="Times New Roman" w:hAnsi="Times New Roman" w:cs="Times New Roman"/>
          <w:sz w:val="24"/>
          <w:szCs w:val="24"/>
        </w:rPr>
        <w:t>26.739 EUR</w:t>
      </w:r>
      <w:r w:rsidRPr="00B20562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6F4245">
        <w:rPr>
          <w:rFonts w:ascii="Times New Roman" w:hAnsi="Times New Roman" w:cs="Times New Roman"/>
          <w:sz w:val="24"/>
          <w:szCs w:val="24"/>
        </w:rPr>
        <w:t>17</w:t>
      </w:r>
      <w:r w:rsidR="00456731">
        <w:rPr>
          <w:rFonts w:ascii="Times New Roman" w:hAnsi="Times New Roman" w:cs="Times New Roman"/>
          <w:sz w:val="24"/>
          <w:szCs w:val="24"/>
        </w:rPr>
        <w:t>2,51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Pr="00B20562">
        <w:rPr>
          <w:rFonts w:ascii="Times New Roman" w:hAnsi="Times New Roman" w:cs="Times New Roman"/>
          <w:sz w:val="24"/>
          <w:szCs w:val="24"/>
        </w:rPr>
        <w:t xml:space="preserve">% planiranog i </w:t>
      </w:r>
      <w:r w:rsidR="006F4245">
        <w:rPr>
          <w:rFonts w:ascii="Times New Roman" w:hAnsi="Times New Roman" w:cs="Times New Roman"/>
          <w:sz w:val="24"/>
          <w:szCs w:val="24"/>
        </w:rPr>
        <w:t xml:space="preserve">viši </w:t>
      </w:r>
      <w:r w:rsidRPr="00B20562">
        <w:rPr>
          <w:rFonts w:ascii="Times New Roman" w:hAnsi="Times New Roman" w:cs="Times New Roman"/>
          <w:sz w:val="24"/>
          <w:szCs w:val="24"/>
        </w:rPr>
        <w:t xml:space="preserve">su </w:t>
      </w:r>
      <w:r w:rsidR="001E5435" w:rsidRPr="00B20562">
        <w:rPr>
          <w:rFonts w:ascii="Times New Roman" w:hAnsi="Times New Roman" w:cs="Times New Roman"/>
          <w:sz w:val="24"/>
          <w:szCs w:val="24"/>
        </w:rPr>
        <w:t xml:space="preserve">u odnosu na realizirane u istom razdoblju prethodne godine za </w:t>
      </w:r>
      <w:r w:rsidR="00456731">
        <w:rPr>
          <w:rFonts w:ascii="Times New Roman" w:hAnsi="Times New Roman" w:cs="Times New Roman"/>
          <w:sz w:val="24"/>
          <w:szCs w:val="24"/>
        </w:rPr>
        <w:t>54,19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1E5435" w:rsidRPr="00B20562">
        <w:rPr>
          <w:rFonts w:ascii="Times New Roman" w:hAnsi="Times New Roman" w:cs="Times New Roman"/>
          <w:sz w:val="24"/>
          <w:szCs w:val="24"/>
        </w:rPr>
        <w:t xml:space="preserve">% odnosno </w:t>
      </w:r>
      <w:r w:rsidR="00456731">
        <w:rPr>
          <w:rFonts w:ascii="Times New Roman" w:hAnsi="Times New Roman" w:cs="Times New Roman"/>
          <w:sz w:val="24"/>
          <w:szCs w:val="24"/>
        </w:rPr>
        <w:t>9.398 EUR</w:t>
      </w:r>
      <w:r w:rsidR="001E5435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39AC45B0" w14:textId="6A9F69EC" w:rsidR="009F4B97" w:rsidRPr="009F4B97" w:rsidRDefault="00F0257A" w:rsidP="009F4B97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Ustanova je </w:t>
      </w:r>
      <w:r w:rsidR="00412C77">
        <w:rPr>
          <w:rFonts w:ascii="Times New Roman" w:hAnsi="Times New Roman" w:cs="Times New Roman"/>
          <w:sz w:val="24"/>
          <w:szCs w:val="24"/>
        </w:rPr>
        <w:t>tijekom</w:t>
      </w:r>
      <w:r w:rsidRPr="00B20562">
        <w:rPr>
          <w:rFonts w:ascii="Times New Roman" w:hAnsi="Times New Roman" w:cs="Times New Roman"/>
          <w:sz w:val="24"/>
          <w:szCs w:val="24"/>
        </w:rPr>
        <w:t xml:space="preserve"> 202</w:t>
      </w:r>
      <w:r w:rsidR="00456731">
        <w:rPr>
          <w:rFonts w:ascii="Times New Roman" w:hAnsi="Times New Roman" w:cs="Times New Roman"/>
          <w:sz w:val="24"/>
          <w:szCs w:val="24"/>
        </w:rPr>
        <w:t>4</w:t>
      </w:r>
      <w:r w:rsidRPr="00B20562">
        <w:rPr>
          <w:rFonts w:ascii="Times New Roman" w:hAnsi="Times New Roman" w:cs="Times New Roman"/>
          <w:sz w:val="24"/>
          <w:szCs w:val="24"/>
        </w:rPr>
        <w:t xml:space="preserve">. godine ostvarila rashode za pomoći u iznosu </w:t>
      </w:r>
      <w:r w:rsidR="00456731">
        <w:rPr>
          <w:rFonts w:ascii="Times New Roman" w:hAnsi="Times New Roman" w:cs="Times New Roman"/>
          <w:sz w:val="24"/>
          <w:szCs w:val="24"/>
        </w:rPr>
        <w:t>81.165</w:t>
      </w:r>
      <w:r w:rsidR="00780F8F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990018" w:rsidRPr="00B20562">
        <w:rPr>
          <w:rFonts w:ascii="Times New Roman" w:hAnsi="Times New Roman" w:cs="Times New Roman"/>
          <w:sz w:val="24"/>
          <w:szCs w:val="24"/>
        </w:rPr>
        <w:t>koj</w:t>
      </w:r>
      <w:r w:rsidR="00780F8F" w:rsidRPr="00B20562">
        <w:rPr>
          <w:rFonts w:ascii="Times New Roman" w:hAnsi="Times New Roman" w:cs="Times New Roman"/>
          <w:sz w:val="24"/>
          <w:szCs w:val="24"/>
        </w:rPr>
        <w:t>i</w:t>
      </w:r>
      <w:r w:rsidR="00990018" w:rsidRPr="00B20562">
        <w:rPr>
          <w:rFonts w:ascii="Times New Roman" w:hAnsi="Times New Roman" w:cs="Times New Roman"/>
          <w:sz w:val="24"/>
          <w:szCs w:val="24"/>
        </w:rPr>
        <w:t xml:space="preserve"> se odnose na uplatu sredstava prema Pravilniku o mjerilima i načinu korištenja donacija i vlastitih prihoda nacionalnih parkova i parkova prirode</w:t>
      </w:r>
      <w:r w:rsidR="003D0E01">
        <w:rPr>
          <w:rFonts w:ascii="Times New Roman" w:hAnsi="Times New Roman" w:cs="Times New Roman"/>
          <w:sz w:val="24"/>
          <w:szCs w:val="24"/>
        </w:rPr>
        <w:t xml:space="preserve"> </w:t>
      </w:r>
      <w:r w:rsidR="003D0E01" w:rsidRPr="009F4B97">
        <w:rPr>
          <w:rFonts w:ascii="Times New Roman" w:hAnsi="Times New Roman" w:cs="Times New Roman"/>
          <w:sz w:val="24"/>
          <w:szCs w:val="24"/>
        </w:rPr>
        <w:t>(NN 65/2017)</w:t>
      </w:r>
      <w:r w:rsidR="009105B8">
        <w:rPr>
          <w:rFonts w:ascii="Times New Roman" w:hAnsi="Times New Roman" w:cs="Times New Roman"/>
          <w:sz w:val="24"/>
          <w:szCs w:val="24"/>
        </w:rPr>
        <w:t xml:space="preserve">. Obračunati iznos sredstva </w:t>
      </w:r>
      <w:r w:rsidR="003D0E01">
        <w:rPr>
          <w:rFonts w:ascii="Times New Roman" w:hAnsi="Times New Roman" w:cs="Times New Roman"/>
          <w:sz w:val="24"/>
          <w:szCs w:val="24"/>
        </w:rPr>
        <w:t xml:space="preserve">koji prema Pravilniku čini </w:t>
      </w:r>
      <w:r w:rsidR="003D0E01" w:rsidRPr="009F4B97">
        <w:rPr>
          <w:rFonts w:ascii="Times New Roman" w:hAnsi="Times New Roman" w:cs="Times New Roman"/>
          <w:sz w:val="24"/>
          <w:szCs w:val="24"/>
        </w:rPr>
        <w:t>3</w:t>
      </w:r>
      <w:r w:rsidR="003D0E01">
        <w:rPr>
          <w:rFonts w:ascii="Times New Roman" w:hAnsi="Times New Roman" w:cs="Times New Roman"/>
          <w:sz w:val="24"/>
          <w:szCs w:val="24"/>
        </w:rPr>
        <w:t xml:space="preserve"> </w:t>
      </w:r>
      <w:r w:rsidR="003D0E01" w:rsidRPr="009F4B97">
        <w:rPr>
          <w:rFonts w:ascii="Times New Roman" w:hAnsi="Times New Roman" w:cs="Times New Roman"/>
          <w:sz w:val="24"/>
          <w:szCs w:val="24"/>
        </w:rPr>
        <w:t xml:space="preserve">% ostvarenih prihoda od obavljanja posjetiteljske djelatnosti </w:t>
      </w:r>
      <w:r w:rsidR="009105B8">
        <w:rPr>
          <w:rFonts w:ascii="Times New Roman" w:hAnsi="Times New Roman" w:cs="Times New Roman"/>
          <w:sz w:val="24"/>
          <w:szCs w:val="24"/>
        </w:rPr>
        <w:t xml:space="preserve">za 2024. godinu </w:t>
      </w:r>
      <w:r w:rsidR="003D0E01">
        <w:rPr>
          <w:rFonts w:ascii="Times New Roman" w:hAnsi="Times New Roman" w:cs="Times New Roman"/>
          <w:sz w:val="24"/>
          <w:szCs w:val="24"/>
        </w:rPr>
        <w:t xml:space="preserve">iznosi </w:t>
      </w:r>
      <w:r w:rsidR="009105B8">
        <w:rPr>
          <w:rFonts w:ascii="Times New Roman" w:hAnsi="Times New Roman" w:cs="Times New Roman"/>
          <w:sz w:val="24"/>
          <w:szCs w:val="24"/>
        </w:rPr>
        <w:t>124.123 EUR</w:t>
      </w:r>
      <w:r w:rsidR="003D0E01">
        <w:rPr>
          <w:rFonts w:ascii="Times New Roman" w:hAnsi="Times New Roman" w:cs="Times New Roman"/>
          <w:sz w:val="24"/>
          <w:szCs w:val="24"/>
        </w:rPr>
        <w:t>.</w:t>
      </w:r>
      <w:r w:rsidR="009F4B97">
        <w:rPr>
          <w:rFonts w:ascii="Times New Roman" w:hAnsi="Times New Roman" w:cs="Times New Roman"/>
          <w:sz w:val="24"/>
          <w:szCs w:val="24"/>
        </w:rPr>
        <w:t xml:space="preserve"> </w:t>
      </w:r>
      <w:r w:rsidR="009F4B97" w:rsidRPr="009F4B97">
        <w:rPr>
          <w:rFonts w:ascii="Times New Roman" w:hAnsi="Times New Roman" w:cs="Times New Roman"/>
          <w:sz w:val="24"/>
          <w:szCs w:val="24"/>
        </w:rPr>
        <w:t xml:space="preserve">Iznos uplaćenih sredstava </w:t>
      </w:r>
      <w:r w:rsidR="003D0E01">
        <w:rPr>
          <w:rFonts w:ascii="Times New Roman" w:hAnsi="Times New Roman" w:cs="Times New Roman"/>
          <w:sz w:val="24"/>
          <w:szCs w:val="24"/>
        </w:rPr>
        <w:t xml:space="preserve">manji </w:t>
      </w:r>
      <w:r w:rsidR="009F4B97" w:rsidRPr="009F4B97">
        <w:rPr>
          <w:rFonts w:ascii="Times New Roman" w:hAnsi="Times New Roman" w:cs="Times New Roman"/>
          <w:sz w:val="24"/>
          <w:szCs w:val="24"/>
        </w:rPr>
        <w:t xml:space="preserve">je u odnosu na </w:t>
      </w:r>
      <w:r w:rsidR="003D0E01">
        <w:rPr>
          <w:rFonts w:ascii="Times New Roman" w:hAnsi="Times New Roman" w:cs="Times New Roman"/>
          <w:sz w:val="24"/>
          <w:szCs w:val="24"/>
        </w:rPr>
        <w:t>obračunato jer je razlika od 42.958 EUR uplaćena kao predujam u 2023. godini</w:t>
      </w:r>
      <w:r w:rsidR="009F4B97" w:rsidRPr="009F4B97">
        <w:rPr>
          <w:rFonts w:ascii="Times New Roman" w:hAnsi="Times New Roman" w:cs="Times New Roman"/>
          <w:sz w:val="24"/>
          <w:szCs w:val="24"/>
        </w:rPr>
        <w:t>.</w:t>
      </w:r>
    </w:p>
    <w:p w14:paraId="53552644" w14:textId="4B17F6A6" w:rsidR="00387D8F" w:rsidRPr="00B20562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U iznosu </w:t>
      </w:r>
      <w:r w:rsidR="00456731">
        <w:rPr>
          <w:rFonts w:ascii="Times New Roman" w:hAnsi="Times New Roman" w:cs="Times New Roman"/>
          <w:sz w:val="24"/>
          <w:szCs w:val="24"/>
        </w:rPr>
        <w:t xml:space="preserve">690 EUR </w:t>
      </w:r>
      <w:r w:rsidRPr="00B20562">
        <w:rPr>
          <w:rFonts w:ascii="Times New Roman" w:hAnsi="Times New Roman" w:cs="Times New Roman"/>
          <w:sz w:val="24"/>
          <w:szCs w:val="24"/>
        </w:rPr>
        <w:t>izvršene su naknade građanima i kućanstvima iz proračuna.</w:t>
      </w:r>
    </w:p>
    <w:p w14:paraId="73FC055B" w14:textId="04D113A8" w:rsidR="00387D8F" w:rsidRPr="00B20562" w:rsidRDefault="00387D8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lastRenderedPageBreak/>
        <w:t xml:space="preserve">Rashodi za nabavu nefinancijske imovine </w:t>
      </w:r>
      <w:r w:rsidR="00CE3C32">
        <w:rPr>
          <w:rFonts w:ascii="Times New Roman" w:hAnsi="Times New Roman" w:cs="Times New Roman"/>
          <w:sz w:val="24"/>
          <w:szCs w:val="24"/>
        </w:rPr>
        <w:t>tijekom 202</w:t>
      </w:r>
      <w:r w:rsidR="00331AEB">
        <w:rPr>
          <w:rFonts w:ascii="Times New Roman" w:hAnsi="Times New Roman" w:cs="Times New Roman"/>
          <w:sz w:val="24"/>
          <w:szCs w:val="24"/>
        </w:rPr>
        <w:t>4</w:t>
      </w:r>
      <w:r w:rsidR="00CE3C32">
        <w:rPr>
          <w:rFonts w:ascii="Times New Roman" w:hAnsi="Times New Roman" w:cs="Times New Roman"/>
          <w:sz w:val="24"/>
          <w:szCs w:val="24"/>
        </w:rPr>
        <w:t xml:space="preserve">. godine </w:t>
      </w:r>
      <w:r w:rsidR="00B77804" w:rsidRPr="00B20562">
        <w:rPr>
          <w:rFonts w:ascii="Times New Roman" w:hAnsi="Times New Roman" w:cs="Times New Roman"/>
          <w:sz w:val="24"/>
          <w:szCs w:val="24"/>
        </w:rPr>
        <w:t>izvršeni</w:t>
      </w:r>
      <w:r w:rsidR="00331AEB">
        <w:rPr>
          <w:rFonts w:ascii="Times New Roman" w:hAnsi="Times New Roman" w:cs="Times New Roman"/>
          <w:sz w:val="24"/>
          <w:szCs w:val="24"/>
        </w:rPr>
        <w:t xml:space="preserve"> su </w:t>
      </w:r>
      <w:r w:rsidR="00B77804" w:rsidRPr="00B20562">
        <w:rPr>
          <w:rFonts w:ascii="Times New Roman" w:hAnsi="Times New Roman" w:cs="Times New Roman"/>
          <w:sz w:val="24"/>
          <w:szCs w:val="24"/>
        </w:rPr>
        <w:t xml:space="preserve">u iznosu </w:t>
      </w:r>
      <w:r w:rsidR="00331AEB">
        <w:rPr>
          <w:rFonts w:ascii="Times New Roman" w:hAnsi="Times New Roman" w:cs="Times New Roman"/>
          <w:sz w:val="24"/>
          <w:szCs w:val="24"/>
        </w:rPr>
        <w:t xml:space="preserve">364.026 EUR 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odnosno </w:t>
      </w:r>
      <w:r w:rsidR="00331AEB">
        <w:rPr>
          <w:rFonts w:ascii="Times New Roman" w:hAnsi="Times New Roman" w:cs="Times New Roman"/>
          <w:sz w:val="24"/>
          <w:szCs w:val="24"/>
        </w:rPr>
        <w:t>80,81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31AEB">
        <w:rPr>
          <w:rFonts w:ascii="Times New Roman" w:hAnsi="Times New Roman" w:cs="Times New Roman"/>
          <w:sz w:val="24"/>
          <w:szCs w:val="24"/>
        </w:rPr>
        <w:t>%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 plana. </w:t>
      </w:r>
      <w:r w:rsidR="00382B6A">
        <w:rPr>
          <w:rFonts w:ascii="Times New Roman" w:hAnsi="Times New Roman" w:cs="Times New Roman"/>
          <w:sz w:val="24"/>
          <w:szCs w:val="24"/>
        </w:rPr>
        <w:t>N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ajznačajnija ulaganja odnose se na </w:t>
      </w:r>
      <w:r w:rsidR="00D947B0">
        <w:rPr>
          <w:rFonts w:ascii="Times New Roman" w:hAnsi="Times New Roman" w:cs="Times New Roman"/>
          <w:sz w:val="24"/>
          <w:szCs w:val="24"/>
        </w:rPr>
        <w:t xml:space="preserve">nabavu </w:t>
      </w:r>
      <w:r w:rsidR="003A6ECB">
        <w:rPr>
          <w:rFonts w:ascii="Times New Roman" w:hAnsi="Times New Roman" w:cs="Times New Roman"/>
          <w:sz w:val="24"/>
          <w:szCs w:val="24"/>
        </w:rPr>
        <w:t xml:space="preserve">postrojenja i opreme i </w:t>
      </w:r>
      <w:r w:rsidR="00D947B0">
        <w:rPr>
          <w:rFonts w:ascii="Times New Roman" w:hAnsi="Times New Roman" w:cs="Times New Roman"/>
          <w:sz w:val="24"/>
          <w:szCs w:val="24"/>
        </w:rPr>
        <w:t xml:space="preserve">to </w:t>
      </w:r>
      <w:r w:rsidR="003A6ECB">
        <w:rPr>
          <w:rFonts w:ascii="Times New Roman" w:hAnsi="Times New Roman" w:cs="Times New Roman"/>
          <w:sz w:val="24"/>
          <w:szCs w:val="24"/>
        </w:rPr>
        <w:t xml:space="preserve">najvećim dijelom na </w:t>
      </w:r>
      <w:r w:rsidR="00E53AB7" w:rsidRPr="00B20562">
        <w:rPr>
          <w:rFonts w:ascii="Times New Roman" w:hAnsi="Times New Roman" w:cs="Times New Roman"/>
          <w:sz w:val="24"/>
          <w:szCs w:val="24"/>
        </w:rPr>
        <w:t>nabavu</w:t>
      </w:r>
      <w:r w:rsidR="00382B6A">
        <w:rPr>
          <w:rFonts w:ascii="Times New Roman" w:hAnsi="Times New Roman" w:cs="Times New Roman"/>
          <w:sz w:val="24"/>
          <w:szCs w:val="24"/>
        </w:rPr>
        <w:t xml:space="preserve"> uređaja, strojeva i</w:t>
      </w:r>
      <w:r w:rsidR="00E53AB7" w:rsidRPr="00B20562">
        <w:rPr>
          <w:rFonts w:ascii="Times New Roman" w:hAnsi="Times New Roman" w:cs="Times New Roman"/>
          <w:sz w:val="24"/>
          <w:szCs w:val="24"/>
        </w:rPr>
        <w:t xml:space="preserve"> opreme</w:t>
      </w:r>
      <w:r w:rsidR="00246B68" w:rsidRPr="00B20562">
        <w:rPr>
          <w:rFonts w:ascii="Times New Roman" w:hAnsi="Times New Roman" w:cs="Times New Roman"/>
          <w:sz w:val="24"/>
          <w:szCs w:val="24"/>
        </w:rPr>
        <w:t xml:space="preserve"> za </w:t>
      </w:r>
      <w:r w:rsidR="00382B6A">
        <w:rPr>
          <w:rFonts w:ascii="Times New Roman" w:hAnsi="Times New Roman" w:cs="Times New Roman"/>
          <w:sz w:val="24"/>
          <w:szCs w:val="24"/>
        </w:rPr>
        <w:t>ostale namjene</w:t>
      </w:r>
      <w:r w:rsidR="00E53AB7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3B0280DE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F8B0B" w14:textId="1792DABE" w:rsidR="00AD0919" w:rsidRDefault="00AD091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4</w:t>
      </w:r>
      <w:r w:rsidRPr="00B20562">
        <w:rPr>
          <w:rFonts w:ascii="Times New Roman" w:hAnsi="Times New Roman" w:cs="Times New Roman"/>
          <w:sz w:val="24"/>
          <w:szCs w:val="24"/>
        </w:rPr>
        <w:t xml:space="preserve">. Rashodi prema izvorima financiranja </w:t>
      </w:r>
    </w:p>
    <w:p w14:paraId="3FEE450E" w14:textId="74611255" w:rsidR="00EC635A" w:rsidRDefault="00EC635A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05629" w14:textId="394FA460" w:rsidR="00EC635A" w:rsidRPr="00B20562" w:rsidRDefault="00E02765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E02765">
        <w:rPr>
          <w:noProof/>
        </w:rPr>
        <w:drawing>
          <wp:inline distT="0" distB="0" distL="0" distR="0" wp14:anchorId="2BB84C86" wp14:editId="19C5B7C0">
            <wp:extent cx="5760720" cy="1355090"/>
            <wp:effectExtent l="0" t="0" r="0" b="0"/>
            <wp:docPr id="136451096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32AD" w14:textId="69BF29B6" w:rsidR="00A3044C" w:rsidRPr="00B20562" w:rsidRDefault="00BB0D1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3044C" w:rsidRPr="00B20562">
        <w:rPr>
          <w:rFonts w:ascii="Times New Roman" w:hAnsi="Times New Roman" w:cs="Times New Roman"/>
          <w:sz w:val="24"/>
          <w:szCs w:val="24"/>
        </w:rPr>
        <w:t>kupn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0F1EDF"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>i ostvareni u 2024. godini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240B4C">
        <w:rPr>
          <w:rFonts w:ascii="Times New Roman" w:hAnsi="Times New Roman" w:cs="Times New Roman"/>
          <w:sz w:val="24"/>
          <w:szCs w:val="24"/>
        </w:rPr>
        <w:t>1</w:t>
      </w:r>
      <w:r w:rsidR="00E02765">
        <w:rPr>
          <w:rFonts w:ascii="Times New Roman" w:hAnsi="Times New Roman" w:cs="Times New Roman"/>
          <w:sz w:val="24"/>
          <w:szCs w:val="24"/>
        </w:rPr>
        <w:t>3.7</w:t>
      </w:r>
      <w:r w:rsidR="00240B4C">
        <w:rPr>
          <w:rFonts w:ascii="Times New Roman" w:hAnsi="Times New Roman" w:cs="Times New Roman"/>
          <w:sz w:val="24"/>
          <w:szCs w:val="24"/>
        </w:rPr>
        <w:t>3</w:t>
      </w:r>
      <w:r w:rsidR="00E02765">
        <w:rPr>
          <w:rFonts w:ascii="Times New Roman" w:hAnsi="Times New Roman" w:cs="Times New Roman"/>
          <w:sz w:val="24"/>
          <w:szCs w:val="24"/>
        </w:rPr>
        <w:t>9.157</w:t>
      </w:r>
      <w:r w:rsidR="00240B4C">
        <w:rPr>
          <w:rFonts w:ascii="Times New Roman" w:hAnsi="Times New Roman" w:cs="Times New Roman"/>
          <w:sz w:val="24"/>
          <w:szCs w:val="24"/>
        </w:rPr>
        <w:t xml:space="preserve"> </w:t>
      </w:r>
      <w:r w:rsidR="00E02765">
        <w:rPr>
          <w:rFonts w:ascii="Times New Roman" w:hAnsi="Times New Roman" w:cs="Times New Roman"/>
          <w:sz w:val="24"/>
          <w:szCs w:val="24"/>
        </w:rPr>
        <w:t>EUR</w:t>
      </w:r>
      <w:r w:rsidR="002C6294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A3044C" w:rsidRPr="00B20562">
        <w:rPr>
          <w:rFonts w:ascii="Times New Roman" w:hAnsi="Times New Roman" w:cs="Times New Roman"/>
          <w:sz w:val="24"/>
          <w:szCs w:val="24"/>
        </w:rPr>
        <w:t>financiran</w:t>
      </w:r>
      <w:r>
        <w:rPr>
          <w:rFonts w:ascii="Times New Roman" w:hAnsi="Times New Roman" w:cs="Times New Roman"/>
          <w:sz w:val="24"/>
          <w:szCs w:val="24"/>
        </w:rPr>
        <w:t>i su iz izvora: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 Vlastiti prihodi </w:t>
      </w:r>
      <w:r w:rsidR="00E02765">
        <w:rPr>
          <w:rFonts w:ascii="Times New Roman" w:hAnsi="Times New Roman" w:cs="Times New Roman"/>
          <w:sz w:val="24"/>
          <w:szCs w:val="24"/>
        </w:rPr>
        <w:t>7.457.276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Prihodi za posebne namjene </w:t>
      </w:r>
      <w:r w:rsidR="00E02765">
        <w:rPr>
          <w:rFonts w:ascii="Times New Roman" w:hAnsi="Times New Roman" w:cs="Times New Roman"/>
          <w:sz w:val="24"/>
          <w:szCs w:val="24"/>
        </w:rPr>
        <w:t>5.05</w:t>
      </w:r>
      <w:r w:rsidR="00240B4C">
        <w:rPr>
          <w:rFonts w:ascii="Times New Roman" w:hAnsi="Times New Roman" w:cs="Times New Roman"/>
          <w:sz w:val="24"/>
          <w:szCs w:val="24"/>
        </w:rPr>
        <w:t>4.</w:t>
      </w:r>
      <w:r w:rsidR="00E02765">
        <w:rPr>
          <w:rFonts w:ascii="Times New Roman" w:hAnsi="Times New Roman" w:cs="Times New Roman"/>
          <w:sz w:val="24"/>
          <w:szCs w:val="24"/>
        </w:rPr>
        <w:t>166 EUR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, Opći prihodi i primici </w:t>
      </w:r>
      <w:r w:rsidR="00E02765">
        <w:rPr>
          <w:rFonts w:ascii="Times New Roman" w:hAnsi="Times New Roman" w:cs="Times New Roman"/>
          <w:sz w:val="24"/>
          <w:szCs w:val="24"/>
        </w:rPr>
        <w:t>750.000 EUR</w:t>
      </w:r>
      <w:r w:rsidR="00A3044C" w:rsidRPr="00B20562">
        <w:rPr>
          <w:rFonts w:ascii="Times New Roman" w:hAnsi="Times New Roman" w:cs="Times New Roman"/>
          <w:sz w:val="24"/>
          <w:szCs w:val="24"/>
        </w:rPr>
        <w:t xml:space="preserve">, Pomoći </w:t>
      </w:r>
      <w:r w:rsidR="00E02765">
        <w:rPr>
          <w:rFonts w:ascii="Times New Roman" w:hAnsi="Times New Roman" w:cs="Times New Roman"/>
          <w:sz w:val="24"/>
          <w:szCs w:val="24"/>
        </w:rPr>
        <w:t>458.292 EUR</w:t>
      </w:r>
      <w:r w:rsidR="00E4355A" w:rsidRPr="00B20562">
        <w:rPr>
          <w:rFonts w:ascii="Times New Roman" w:hAnsi="Times New Roman" w:cs="Times New Roman"/>
          <w:sz w:val="24"/>
          <w:szCs w:val="24"/>
        </w:rPr>
        <w:t>,</w:t>
      </w:r>
      <w:r w:rsidR="00240B4C">
        <w:rPr>
          <w:rFonts w:ascii="Times New Roman" w:hAnsi="Times New Roman" w:cs="Times New Roman"/>
          <w:sz w:val="24"/>
          <w:szCs w:val="24"/>
        </w:rPr>
        <w:t xml:space="preserve"> </w:t>
      </w:r>
      <w:r w:rsidR="007600BF">
        <w:rPr>
          <w:rFonts w:ascii="Times New Roman" w:hAnsi="Times New Roman" w:cs="Times New Roman"/>
          <w:sz w:val="24"/>
          <w:szCs w:val="24"/>
        </w:rPr>
        <w:t>D</w:t>
      </w:r>
      <w:r w:rsidR="00240B4C">
        <w:rPr>
          <w:rFonts w:ascii="Times New Roman" w:hAnsi="Times New Roman" w:cs="Times New Roman"/>
          <w:sz w:val="24"/>
          <w:szCs w:val="24"/>
        </w:rPr>
        <w:t xml:space="preserve">onacije </w:t>
      </w:r>
      <w:r w:rsidR="00E02765">
        <w:rPr>
          <w:rFonts w:ascii="Times New Roman" w:hAnsi="Times New Roman" w:cs="Times New Roman"/>
          <w:sz w:val="24"/>
          <w:szCs w:val="24"/>
        </w:rPr>
        <w:t>6.751 EUR</w:t>
      </w:r>
      <w:r w:rsidR="00240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355A" w:rsidRPr="00B20562">
        <w:rPr>
          <w:rFonts w:ascii="Times New Roman" w:hAnsi="Times New Roman" w:cs="Times New Roman"/>
          <w:sz w:val="24"/>
          <w:szCs w:val="24"/>
        </w:rPr>
        <w:t xml:space="preserve"> </w:t>
      </w:r>
      <w:r w:rsidR="007600BF">
        <w:rPr>
          <w:rFonts w:ascii="Times New Roman" w:hAnsi="Times New Roman" w:cs="Times New Roman"/>
          <w:sz w:val="24"/>
          <w:szCs w:val="24"/>
        </w:rPr>
        <w:t>P</w:t>
      </w:r>
      <w:r w:rsidR="00E4355A" w:rsidRPr="00B20562">
        <w:rPr>
          <w:rFonts w:ascii="Times New Roman" w:hAnsi="Times New Roman" w:cs="Times New Roman"/>
          <w:sz w:val="24"/>
          <w:szCs w:val="24"/>
        </w:rPr>
        <w:t xml:space="preserve">rihodi od nefinancijske imovine </w:t>
      </w:r>
      <w:r w:rsidR="00E02765">
        <w:rPr>
          <w:rFonts w:ascii="Times New Roman" w:hAnsi="Times New Roman" w:cs="Times New Roman"/>
          <w:sz w:val="24"/>
          <w:szCs w:val="24"/>
        </w:rPr>
        <w:t>12.672 EUR</w:t>
      </w:r>
      <w:r w:rsidR="00E4355A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7A6EDA12" w14:textId="77777777" w:rsidR="00454517" w:rsidRPr="00B20562" w:rsidRDefault="00454517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3866" w14:textId="2BAAC5D8" w:rsidR="00DA36E9" w:rsidRDefault="00DA36E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5</w:t>
      </w:r>
      <w:r w:rsidRPr="00B20562">
        <w:rPr>
          <w:rFonts w:ascii="Times New Roman" w:hAnsi="Times New Roman" w:cs="Times New Roman"/>
          <w:sz w:val="24"/>
          <w:szCs w:val="24"/>
        </w:rPr>
        <w:t>. Rashodi prema funkcijskoj klasifikaciji</w:t>
      </w:r>
    </w:p>
    <w:p w14:paraId="58457F35" w14:textId="2C2690F3" w:rsidR="00BC7FA1" w:rsidRPr="00B20562" w:rsidRDefault="00BC7FA1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7F5CC" w14:textId="0665894A" w:rsidR="00DA36E9" w:rsidRPr="00B20562" w:rsidRDefault="00752A26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752A26">
        <w:rPr>
          <w:noProof/>
        </w:rPr>
        <w:drawing>
          <wp:inline distT="0" distB="0" distL="0" distR="0" wp14:anchorId="532271AB" wp14:editId="61BA5179">
            <wp:extent cx="5760720" cy="663575"/>
            <wp:effectExtent l="0" t="0" r="0" b="3175"/>
            <wp:docPr id="31865486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84B6" w14:textId="03BA1EB7" w:rsidR="00783E4E" w:rsidRPr="00B20562" w:rsidRDefault="00AE45A9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Od ukupno izvršenih rashoda p</w:t>
      </w:r>
      <w:r w:rsidR="00783E4E" w:rsidRPr="00B20562">
        <w:rPr>
          <w:rFonts w:ascii="Times New Roman" w:hAnsi="Times New Roman" w:cs="Times New Roman"/>
          <w:sz w:val="24"/>
          <w:szCs w:val="24"/>
        </w:rPr>
        <w:t xml:space="preserve">rema funkcijskoj klasifikaciji rashodi u iznosu </w:t>
      </w:r>
      <w:r w:rsidR="00752A26">
        <w:rPr>
          <w:rFonts w:ascii="Times New Roman" w:hAnsi="Times New Roman" w:cs="Times New Roman"/>
          <w:sz w:val="24"/>
          <w:szCs w:val="24"/>
        </w:rPr>
        <w:t xml:space="preserve">13.739.157 EUR </w:t>
      </w:r>
      <w:r w:rsidR="00783E4E" w:rsidRPr="00B20562">
        <w:rPr>
          <w:rFonts w:ascii="Times New Roman" w:hAnsi="Times New Roman" w:cs="Times New Roman"/>
          <w:sz w:val="24"/>
          <w:szCs w:val="24"/>
        </w:rPr>
        <w:t>izvršeni su u kategoriji zaštit</w:t>
      </w:r>
      <w:r w:rsidR="00690C19">
        <w:rPr>
          <w:rFonts w:ascii="Times New Roman" w:hAnsi="Times New Roman" w:cs="Times New Roman"/>
          <w:sz w:val="24"/>
          <w:szCs w:val="24"/>
        </w:rPr>
        <w:t>e</w:t>
      </w:r>
      <w:r w:rsidR="00783E4E" w:rsidRPr="00B20562">
        <w:rPr>
          <w:rFonts w:ascii="Times New Roman" w:hAnsi="Times New Roman" w:cs="Times New Roman"/>
          <w:sz w:val="24"/>
          <w:szCs w:val="24"/>
        </w:rPr>
        <w:t xml:space="preserve"> bioraznolikosti i krajolika</w:t>
      </w:r>
      <w:r w:rsidR="00EE1457">
        <w:rPr>
          <w:rFonts w:ascii="Times New Roman" w:hAnsi="Times New Roman" w:cs="Times New Roman"/>
          <w:sz w:val="24"/>
          <w:szCs w:val="24"/>
        </w:rPr>
        <w:t>.</w:t>
      </w:r>
    </w:p>
    <w:p w14:paraId="4B339FC8" w14:textId="77777777" w:rsidR="001B024B" w:rsidRDefault="001B024B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B0E2F" w14:textId="77777777" w:rsidR="00FB7785" w:rsidRDefault="00FB778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A1A3E" w14:textId="77777777" w:rsidR="00FB7785" w:rsidRDefault="00FB778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724FE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2BD50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5F30A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6A497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D3F54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0F3D8" w14:textId="77777777" w:rsidR="00F91846" w:rsidRDefault="00F91846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320B6" w14:textId="77777777" w:rsidR="00AA2695" w:rsidRDefault="00AA2695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73283" w14:textId="1D96B50F" w:rsidR="00F64FC2" w:rsidRPr="00B20562" w:rsidRDefault="00F64FC2" w:rsidP="00E56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Račun financiranja</w:t>
      </w:r>
    </w:p>
    <w:p w14:paraId="39ACD113" w14:textId="7DF74771" w:rsidR="00F64FC2" w:rsidRPr="00B20562" w:rsidRDefault="00F64FC2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 xml:space="preserve">Tablica </w:t>
      </w:r>
      <w:r w:rsidR="00DC2DC3">
        <w:rPr>
          <w:rFonts w:ascii="Times New Roman" w:hAnsi="Times New Roman" w:cs="Times New Roman"/>
          <w:sz w:val="24"/>
          <w:szCs w:val="24"/>
        </w:rPr>
        <w:t>6</w:t>
      </w:r>
      <w:r w:rsidRPr="00B20562">
        <w:rPr>
          <w:rFonts w:ascii="Times New Roman" w:hAnsi="Times New Roman" w:cs="Times New Roman"/>
          <w:sz w:val="24"/>
          <w:szCs w:val="24"/>
        </w:rPr>
        <w:t xml:space="preserve">. Račun prihoda i rashoda i Račun financiranja </w:t>
      </w:r>
    </w:p>
    <w:p w14:paraId="2627B080" w14:textId="4E339F12" w:rsidR="00534969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A.RAČUN</w:t>
      </w:r>
      <w:r w:rsidR="00534969" w:rsidRPr="00534969">
        <w:rPr>
          <w:rFonts w:ascii="Times New Roman" w:hAnsi="Times New Roman" w:cs="Times New Roman"/>
          <w:sz w:val="24"/>
          <w:szCs w:val="24"/>
        </w:rPr>
        <w:t xml:space="preserve"> </w:t>
      </w:r>
      <w:r w:rsidR="00534969">
        <w:rPr>
          <w:rFonts w:ascii="Times New Roman" w:hAnsi="Times New Roman" w:cs="Times New Roman"/>
          <w:sz w:val="24"/>
          <w:szCs w:val="24"/>
        </w:rPr>
        <w:t>P</w:t>
      </w:r>
      <w:r w:rsidR="00534969" w:rsidRPr="00B20562">
        <w:rPr>
          <w:rFonts w:ascii="Times New Roman" w:hAnsi="Times New Roman" w:cs="Times New Roman"/>
          <w:sz w:val="24"/>
          <w:szCs w:val="24"/>
        </w:rPr>
        <w:t>RIHODA I RASHODA</w:t>
      </w:r>
    </w:p>
    <w:p w14:paraId="17C43FF2" w14:textId="344D6AC5" w:rsidR="00C52268" w:rsidRPr="00B20562" w:rsidRDefault="007C3807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7C3807">
        <w:rPr>
          <w:noProof/>
        </w:rPr>
        <w:drawing>
          <wp:inline distT="0" distB="0" distL="0" distR="0" wp14:anchorId="65AA53F0" wp14:editId="79E499AB">
            <wp:extent cx="5760720" cy="948055"/>
            <wp:effectExtent l="0" t="0" r="0" b="4445"/>
            <wp:docPr id="84178479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A4B2" w14:textId="47E2BA5C" w:rsidR="00F64FC2" w:rsidRPr="00B20562" w:rsidRDefault="00F64FC2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73591" w14:textId="0F895818" w:rsidR="00C52268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B20562">
        <w:rPr>
          <w:rFonts w:ascii="Times New Roman" w:hAnsi="Times New Roman" w:cs="Times New Roman"/>
          <w:sz w:val="24"/>
          <w:szCs w:val="24"/>
        </w:rPr>
        <w:t>B.RAČUN FINANCIRANJA</w:t>
      </w:r>
    </w:p>
    <w:p w14:paraId="691F163C" w14:textId="399C34E3" w:rsidR="000F1807" w:rsidRPr="00B20562" w:rsidRDefault="000F1807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 w:rsidRPr="000F1807">
        <w:rPr>
          <w:noProof/>
        </w:rPr>
        <w:drawing>
          <wp:inline distT="0" distB="0" distL="0" distR="0" wp14:anchorId="138E6F0A" wp14:editId="318445BE">
            <wp:extent cx="5760720" cy="953135"/>
            <wp:effectExtent l="0" t="0" r="0" b="0"/>
            <wp:docPr id="14905568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C8BE" w14:textId="0AD64D48" w:rsidR="00C52268" w:rsidRPr="00B20562" w:rsidRDefault="00C52268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8DB15" w14:textId="38D12AE1" w:rsidR="00AA7C19" w:rsidRDefault="000D02C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AA7C19" w:rsidRPr="00B20562">
        <w:rPr>
          <w:rFonts w:ascii="Times New Roman" w:hAnsi="Times New Roman" w:cs="Times New Roman"/>
          <w:sz w:val="24"/>
          <w:szCs w:val="24"/>
        </w:rPr>
        <w:t>202</w:t>
      </w:r>
      <w:r w:rsidR="00AF0178">
        <w:rPr>
          <w:rFonts w:ascii="Times New Roman" w:hAnsi="Times New Roman" w:cs="Times New Roman"/>
          <w:sz w:val="24"/>
          <w:szCs w:val="24"/>
        </w:rPr>
        <w:t>4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. godine ostvareni su ukupni prihodi u iznosu </w:t>
      </w:r>
      <w:r w:rsidR="00AF0178">
        <w:rPr>
          <w:rFonts w:ascii="Times New Roman" w:hAnsi="Times New Roman" w:cs="Times New Roman"/>
          <w:sz w:val="24"/>
          <w:szCs w:val="24"/>
        </w:rPr>
        <w:t>12.324.402 EUR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i to prihodi od poslovanja u iznosu </w:t>
      </w:r>
      <w:r w:rsidR="00AF0178">
        <w:rPr>
          <w:rFonts w:ascii="Times New Roman" w:hAnsi="Times New Roman" w:cs="Times New Roman"/>
          <w:sz w:val="24"/>
          <w:szCs w:val="24"/>
        </w:rPr>
        <w:t>12.311.730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i prihodi od prodaje nefinancijske imovine u iznosu </w:t>
      </w:r>
      <w:r w:rsidR="00AF0178">
        <w:rPr>
          <w:rFonts w:ascii="Times New Roman" w:hAnsi="Times New Roman" w:cs="Times New Roman"/>
          <w:sz w:val="24"/>
          <w:szCs w:val="24"/>
        </w:rPr>
        <w:t>12.672 EUR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, dok su ukupni rashodi ostvareni u iznosu </w:t>
      </w:r>
      <w:r w:rsidR="00AF0178">
        <w:rPr>
          <w:rFonts w:ascii="Times New Roman" w:hAnsi="Times New Roman" w:cs="Times New Roman"/>
          <w:sz w:val="24"/>
          <w:szCs w:val="24"/>
        </w:rPr>
        <w:t>13.739.157 EUR</w:t>
      </w:r>
      <w:r w:rsidR="00AA7C19" w:rsidRPr="00B20562">
        <w:rPr>
          <w:rFonts w:ascii="Times New Roman" w:hAnsi="Times New Roman" w:cs="Times New Roman"/>
          <w:sz w:val="24"/>
          <w:szCs w:val="24"/>
        </w:rPr>
        <w:t xml:space="preserve"> koje čine rashodi poslovanja u iznosu </w:t>
      </w:r>
      <w:r w:rsidR="00AF0178">
        <w:rPr>
          <w:rFonts w:ascii="Times New Roman" w:hAnsi="Times New Roman" w:cs="Times New Roman"/>
          <w:sz w:val="24"/>
          <w:szCs w:val="24"/>
        </w:rPr>
        <w:t xml:space="preserve">13.375.131 EUR </w:t>
      </w:r>
      <w:r w:rsidR="00AA7C19" w:rsidRPr="00B20562">
        <w:rPr>
          <w:rFonts w:ascii="Times New Roman" w:hAnsi="Times New Roman" w:cs="Times New Roman"/>
          <w:sz w:val="24"/>
          <w:szCs w:val="24"/>
        </w:rPr>
        <w:t>i rashodi za nabavu nefinancijske imovine u iznosu</w:t>
      </w:r>
      <w:r w:rsidR="00AF0178">
        <w:rPr>
          <w:rFonts w:ascii="Times New Roman" w:hAnsi="Times New Roman" w:cs="Times New Roman"/>
          <w:sz w:val="24"/>
          <w:szCs w:val="24"/>
        </w:rPr>
        <w:t xml:space="preserve"> 364.026 EUR</w:t>
      </w:r>
      <w:r w:rsidR="00D21E46" w:rsidRPr="00B20562">
        <w:rPr>
          <w:rFonts w:ascii="Times New Roman" w:hAnsi="Times New Roman" w:cs="Times New Roman"/>
          <w:sz w:val="24"/>
          <w:szCs w:val="24"/>
        </w:rPr>
        <w:t>.</w:t>
      </w:r>
      <w:r w:rsidR="006679BE" w:rsidRPr="00B20562">
        <w:rPr>
          <w:rFonts w:ascii="Times New Roman" w:hAnsi="Times New Roman" w:cs="Times New Roman"/>
          <w:sz w:val="24"/>
          <w:szCs w:val="24"/>
        </w:rPr>
        <w:t xml:space="preserve"> Iz navedenog proizlazi negativan poslovni rezultat u iznosu</w:t>
      </w:r>
      <w:r w:rsidR="008C6A8F">
        <w:rPr>
          <w:rFonts w:ascii="Times New Roman" w:hAnsi="Times New Roman" w:cs="Times New Roman"/>
          <w:sz w:val="24"/>
          <w:szCs w:val="24"/>
        </w:rPr>
        <w:t xml:space="preserve"> </w:t>
      </w:r>
      <w:r w:rsidR="00AF0178">
        <w:rPr>
          <w:rFonts w:ascii="Times New Roman" w:hAnsi="Times New Roman" w:cs="Times New Roman"/>
          <w:sz w:val="24"/>
          <w:szCs w:val="24"/>
        </w:rPr>
        <w:t>1.414.755 EUR</w:t>
      </w:r>
      <w:r w:rsidR="00D21E46" w:rsidRPr="00B20562">
        <w:rPr>
          <w:rFonts w:ascii="Times New Roman" w:hAnsi="Times New Roman" w:cs="Times New Roman"/>
          <w:sz w:val="24"/>
          <w:szCs w:val="24"/>
        </w:rPr>
        <w:t>.</w:t>
      </w:r>
    </w:p>
    <w:p w14:paraId="5D946D7C" w14:textId="7E61B25D" w:rsidR="00B31DB3" w:rsidRDefault="00A8726F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prijenos sredstava iz prethodne godine u iznosu </w:t>
      </w:r>
      <w:r w:rsidR="00AF0178">
        <w:rPr>
          <w:rFonts w:ascii="Times New Roman" w:hAnsi="Times New Roman" w:cs="Times New Roman"/>
          <w:sz w:val="24"/>
          <w:szCs w:val="24"/>
        </w:rPr>
        <w:t>5.023.208 EUR</w:t>
      </w:r>
      <w:r>
        <w:rPr>
          <w:rFonts w:ascii="Times New Roman" w:hAnsi="Times New Roman" w:cs="Times New Roman"/>
          <w:sz w:val="24"/>
          <w:szCs w:val="24"/>
        </w:rPr>
        <w:t xml:space="preserve"> odnosi se na prijenose sredstava vlastiti prihodi </w:t>
      </w:r>
      <w:r w:rsidR="00413532">
        <w:rPr>
          <w:rFonts w:ascii="Times New Roman" w:hAnsi="Times New Roman" w:cs="Times New Roman"/>
          <w:sz w:val="24"/>
          <w:szCs w:val="24"/>
        </w:rPr>
        <w:t>3.262.433</w:t>
      </w:r>
      <w:r w:rsidR="00B43983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prihodi posebne namjene </w:t>
      </w:r>
      <w:r w:rsidR="00A2351C">
        <w:rPr>
          <w:rFonts w:ascii="Times New Roman" w:hAnsi="Times New Roman" w:cs="Times New Roman"/>
          <w:sz w:val="24"/>
          <w:szCs w:val="24"/>
        </w:rPr>
        <w:t>1</w:t>
      </w:r>
      <w:r w:rsidR="00413532">
        <w:rPr>
          <w:rFonts w:ascii="Times New Roman" w:hAnsi="Times New Roman" w:cs="Times New Roman"/>
          <w:sz w:val="24"/>
          <w:szCs w:val="24"/>
        </w:rPr>
        <w:t>.758.987 EUR i</w:t>
      </w:r>
      <w:r w:rsidR="00A2351C">
        <w:rPr>
          <w:rFonts w:ascii="Times New Roman" w:hAnsi="Times New Roman" w:cs="Times New Roman"/>
          <w:sz w:val="24"/>
          <w:szCs w:val="24"/>
        </w:rPr>
        <w:t xml:space="preserve"> donacije 1</w:t>
      </w:r>
      <w:r w:rsidR="00413532">
        <w:rPr>
          <w:rFonts w:ascii="Times New Roman" w:hAnsi="Times New Roman" w:cs="Times New Roman"/>
          <w:sz w:val="24"/>
          <w:szCs w:val="24"/>
        </w:rPr>
        <w:t>.787</w:t>
      </w:r>
      <w:r w:rsidR="00A2351C">
        <w:rPr>
          <w:rFonts w:ascii="Times New Roman" w:hAnsi="Times New Roman" w:cs="Times New Roman"/>
          <w:sz w:val="24"/>
          <w:szCs w:val="24"/>
        </w:rPr>
        <w:t xml:space="preserve"> </w:t>
      </w:r>
      <w:r w:rsidR="00413532">
        <w:rPr>
          <w:rFonts w:ascii="Times New Roman" w:hAnsi="Times New Roman" w:cs="Times New Roman"/>
          <w:sz w:val="24"/>
          <w:szCs w:val="24"/>
        </w:rPr>
        <w:t>EUR</w:t>
      </w:r>
      <w:r w:rsidR="00A2351C">
        <w:rPr>
          <w:rFonts w:ascii="Times New Roman" w:hAnsi="Times New Roman" w:cs="Times New Roman"/>
          <w:sz w:val="24"/>
          <w:szCs w:val="24"/>
        </w:rPr>
        <w:t xml:space="preserve">. Ustanova </w:t>
      </w:r>
      <w:r w:rsidR="00DD796C">
        <w:rPr>
          <w:rFonts w:ascii="Times New Roman" w:hAnsi="Times New Roman" w:cs="Times New Roman"/>
          <w:sz w:val="24"/>
          <w:szCs w:val="24"/>
        </w:rPr>
        <w:t xml:space="preserve">je </w:t>
      </w:r>
      <w:r w:rsidR="00A2351C">
        <w:rPr>
          <w:rFonts w:ascii="Times New Roman" w:hAnsi="Times New Roman" w:cs="Times New Roman"/>
          <w:sz w:val="24"/>
          <w:szCs w:val="24"/>
        </w:rPr>
        <w:t>u 202</w:t>
      </w:r>
      <w:r w:rsidR="00413532">
        <w:rPr>
          <w:rFonts w:ascii="Times New Roman" w:hAnsi="Times New Roman" w:cs="Times New Roman"/>
          <w:sz w:val="24"/>
          <w:szCs w:val="24"/>
        </w:rPr>
        <w:t>4</w:t>
      </w:r>
      <w:r w:rsidR="00DD796C">
        <w:rPr>
          <w:rFonts w:ascii="Times New Roman" w:hAnsi="Times New Roman" w:cs="Times New Roman"/>
          <w:sz w:val="24"/>
          <w:szCs w:val="24"/>
        </w:rPr>
        <w:t>.</w:t>
      </w:r>
      <w:r w:rsidR="00A2351C">
        <w:rPr>
          <w:rFonts w:ascii="Times New Roman" w:hAnsi="Times New Roman" w:cs="Times New Roman"/>
          <w:sz w:val="24"/>
          <w:szCs w:val="24"/>
        </w:rPr>
        <w:t xml:space="preserve"> godin</w:t>
      </w:r>
      <w:r w:rsidR="000D02CF">
        <w:rPr>
          <w:rFonts w:ascii="Times New Roman" w:hAnsi="Times New Roman" w:cs="Times New Roman"/>
          <w:sz w:val="24"/>
          <w:szCs w:val="24"/>
        </w:rPr>
        <w:t>i</w:t>
      </w:r>
      <w:r w:rsidR="00A2351C">
        <w:rPr>
          <w:rFonts w:ascii="Times New Roman" w:hAnsi="Times New Roman" w:cs="Times New Roman"/>
          <w:sz w:val="24"/>
          <w:szCs w:val="24"/>
        </w:rPr>
        <w:t xml:space="preserve"> ostvarila negativan poslovni rezultat </w:t>
      </w:r>
      <w:r w:rsidR="00DD796C">
        <w:rPr>
          <w:rFonts w:ascii="Times New Roman" w:hAnsi="Times New Roman" w:cs="Times New Roman"/>
          <w:sz w:val="24"/>
          <w:szCs w:val="24"/>
        </w:rPr>
        <w:t>u iznosu 1.414.755 EUR. I</w:t>
      </w:r>
      <w:r w:rsidR="00A2351C">
        <w:rPr>
          <w:rFonts w:ascii="Times New Roman" w:hAnsi="Times New Roman" w:cs="Times New Roman"/>
          <w:sz w:val="24"/>
          <w:szCs w:val="24"/>
        </w:rPr>
        <w:t xml:space="preserve">znos sredstava </w:t>
      </w:r>
      <w:r w:rsidR="00DD796C">
        <w:rPr>
          <w:rFonts w:ascii="Times New Roman" w:hAnsi="Times New Roman" w:cs="Times New Roman"/>
          <w:sz w:val="24"/>
          <w:szCs w:val="24"/>
        </w:rPr>
        <w:t xml:space="preserve">3.608.452 EUR </w:t>
      </w:r>
      <w:r w:rsidR="00A2351C">
        <w:rPr>
          <w:rFonts w:ascii="Times New Roman" w:hAnsi="Times New Roman" w:cs="Times New Roman"/>
          <w:sz w:val="24"/>
          <w:szCs w:val="24"/>
        </w:rPr>
        <w:t xml:space="preserve">za prijenos u naredno razdoblje 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sljedeće </w:t>
      </w:r>
      <w:r w:rsidR="00DD796C">
        <w:rPr>
          <w:rFonts w:ascii="Times New Roman" w:hAnsi="Times New Roman" w:cs="Times New Roman"/>
          <w:sz w:val="24"/>
          <w:szCs w:val="24"/>
        </w:rPr>
        <w:t xml:space="preserve">je </w:t>
      </w:r>
      <w:r w:rsidR="00A2351C" w:rsidRPr="00262A7C">
        <w:rPr>
          <w:rFonts w:ascii="Times New Roman" w:hAnsi="Times New Roman" w:cs="Times New Roman"/>
          <w:sz w:val="24"/>
          <w:szCs w:val="24"/>
        </w:rPr>
        <w:t>strukture izvora</w:t>
      </w:r>
      <w:r w:rsidR="00BE663F">
        <w:rPr>
          <w:rFonts w:ascii="Times New Roman" w:hAnsi="Times New Roman" w:cs="Times New Roman"/>
          <w:sz w:val="24"/>
          <w:szCs w:val="24"/>
        </w:rPr>
        <w:t>: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 vlastiti prihodi </w:t>
      </w:r>
      <w:r w:rsidR="00413532">
        <w:rPr>
          <w:rFonts w:ascii="Times New Roman" w:hAnsi="Times New Roman" w:cs="Times New Roman"/>
          <w:sz w:val="24"/>
          <w:szCs w:val="24"/>
        </w:rPr>
        <w:t>2.680.046 EUR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, prihodi posebne namjene </w:t>
      </w:r>
      <w:r w:rsidR="00413532">
        <w:rPr>
          <w:rFonts w:ascii="Times New Roman" w:hAnsi="Times New Roman" w:cs="Times New Roman"/>
          <w:sz w:val="24"/>
          <w:szCs w:val="24"/>
        </w:rPr>
        <w:t>917.885 EUR</w:t>
      </w:r>
      <w:r w:rsidR="00A2351C" w:rsidRPr="00262A7C">
        <w:rPr>
          <w:rFonts w:ascii="Times New Roman" w:hAnsi="Times New Roman" w:cs="Times New Roman"/>
          <w:sz w:val="24"/>
          <w:szCs w:val="24"/>
        </w:rPr>
        <w:t xml:space="preserve">, </w:t>
      </w:r>
      <w:r w:rsidR="00413532">
        <w:rPr>
          <w:rFonts w:ascii="Times New Roman" w:hAnsi="Times New Roman" w:cs="Times New Roman"/>
          <w:sz w:val="24"/>
          <w:szCs w:val="24"/>
        </w:rPr>
        <w:t>pomoći 9.990 EUR i donacije 531 EUR</w:t>
      </w:r>
      <w:r w:rsidR="005D7DC3">
        <w:rPr>
          <w:rFonts w:ascii="Times New Roman" w:hAnsi="Times New Roman" w:cs="Times New Roman"/>
          <w:sz w:val="24"/>
          <w:szCs w:val="24"/>
        </w:rPr>
        <w:t>.</w:t>
      </w:r>
    </w:p>
    <w:p w14:paraId="5AE2D52C" w14:textId="015F7A59" w:rsidR="005D7DC3" w:rsidRDefault="005D7DC3" w:rsidP="00E5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stanja novčanih sredstava na računima Ustanove: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2"/>
        <w:gridCol w:w="3181"/>
        <w:gridCol w:w="2699"/>
      </w:tblGrid>
      <w:tr w:rsidR="00A67F35" w14:paraId="589454C6" w14:textId="00898C07" w:rsidTr="00A67F35">
        <w:tc>
          <w:tcPr>
            <w:tcW w:w="3182" w:type="dxa"/>
          </w:tcPr>
          <w:p w14:paraId="4FBAEE0E" w14:textId="2D377ABA" w:rsidR="00A67F35" w:rsidRDefault="00A67F35" w:rsidP="00E5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514B80AD" w14:textId="49116D74" w:rsidR="00A67F35" w:rsidRDefault="00A67F35" w:rsidP="0014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7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14:paraId="37CDAA68" w14:textId="0B042337" w:rsidR="00A67F35" w:rsidRDefault="00A67F35" w:rsidP="0014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63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F35" w14:paraId="57670328" w14:textId="680F24A8" w:rsidTr="007A6176">
        <w:trPr>
          <w:trHeight w:val="578"/>
        </w:trPr>
        <w:tc>
          <w:tcPr>
            <w:tcW w:w="3182" w:type="dxa"/>
            <w:vAlign w:val="center"/>
          </w:tcPr>
          <w:p w14:paraId="4D85074C" w14:textId="1D995E08" w:rsidR="00A67F35" w:rsidRDefault="00A67F35" w:rsidP="007A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Novac u banci i blagajni</w:t>
            </w:r>
          </w:p>
        </w:tc>
        <w:tc>
          <w:tcPr>
            <w:tcW w:w="3181" w:type="dxa"/>
            <w:vAlign w:val="center"/>
          </w:tcPr>
          <w:p w14:paraId="0375C083" w14:textId="4F5CD98C" w:rsidR="00A67F35" w:rsidRDefault="00772B00" w:rsidP="00144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4.156.751,09</w:t>
            </w:r>
          </w:p>
        </w:tc>
        <w:tc>
          <w:tcPr>
            <w:tcW w:w="2699" w:type="dxa"/>
            <w:vAlign w:val="center"/>
          </w:tcPr>
          <w:p w14:paraId="27FE3446" w14:textId="7E471947" w:rsidR="00A67F35" w:rsidRDefault="00F92C5A" w:rsidP="00144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2.568.053,27</w:t>
            </w:r>
          </w:p>
        </w:tc>
      </w:tr>
    </w:tbl>
    <w:p w14:paraId="6958D65A" w14:textId="77777777" w:rsidR="005D7DC3" w:rsidRPr="00262A7C" w:rsidRDefault="005D7DC3" w:rsidP="00E568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DC3" w:rsidRPr="0026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85867"/>
    <w:multiLevelType w:val="hybridMultilevel"/>
    <w:tmpl w:val="73C498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41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22155"/>
    <w:rsid w:val="000247D6"/>
    <w:rsid w:val="00034177"/>
    <w:rsid w:val="00054CE7"/>
    <w:rsid w:val="00070843"/>
    <w:rsid w:val="00080FA7"/>
    <w:rsid w:val="000917DC"/>
    <w:rsid w:val="00096DA3"/>
    <w:rsid w:val="000A11B7"/>
    <w:rsid w:val="000A1A1C"/>
    <w:rsid w:val="000A4E31"/>
    <w:rsid w:val="000A6DF6"/>
    <w:rsid w:val="000A717C"/>
    <w:rsid w:val="000B13E1"/>
    <w:rsid w:val="000B5347"/>
    <w:rsid w:val="000C0808"/>
    <w:rsid w:val="000C5DBF"/>
    <w:rsid w:val="000D02CF"/>
    <w:rsid w:val="000D0E19"/>
    <w:rsid w:val="000D2EC6"/>
    <w:rsid w:val="000E6EF0"/>
    <w:rsid w:val="000F1807"/>
    <w:rsid w:val="000F1EDF"/>
    <w:rsid w:val="00111EC8"/>
    <w:rsid w:val="00117792"/>
    <w:rsid w:val="0012202C"/>
    <w:rsid w:val="001445A6"/>
    <w:rsid w:val="001625C7"/>
    <w:rsid w:val="0017252B"/>
    <w:rsid w:val="00175CFF"/>
    <w:rsid w:val="00194E28"/>
    <w:rsid w:val="001B024B"/>
    <w:rsid w:val="001C3192"/>
    <w:rsid w:val="001C48CB"/>
    <w:rsid w:val="001D039E"/>
    <w:rsid w:val="001E0154"/>
    <w:rsid w:val="001E5435"/>
    <w:rsid w:val="00240AD7"/>
    <w:rsid w:val="00240B4C"/>
    <w:rsid w:val="00246B68"/>
    <w:rsid w:val="00262A7C"/>
    <w:rsid w:val="002673BB"/>
    <w:rsid w:val="00272578"/>
    <w:rsid w:val="00272691"/>
    <w:rsid w:val="002B63C4"/>
    <w:rsid w:val="002C02B4"/>
    <w:rsid w:val="002C6294"/>
    <w:rsid w:val="002D19DB"/>
    <w:rsid w:val="002E00FF"/>
    <w:rsid w:val="002E31BC"/>
    <w:rsid w:val="002E6C74"/>
    <w:rsid w:val="00322583"/>
    <w:rsid w:val="00323BAC"/>
    <w:rsid w:val="00331AEB"/>
    <w:rsid w:val="00340193"/>
    <w:rsid w:val="003403F0"/>
    <w:rsid w:val="00351C2A"/>
    <w:rsid w:val="00355D48"/>
    <w:rsid w:val="003632C6"/>
    <w:rsid w:val="00367394"/>
    <w:rsid w:val="003743B3"/>
    <w:rsid w:val="00374695"/>
    <w:rsid w:val="003755A1"/>
    <w:rsid w:val="00382B6A"/>
    <w:rsid w:val="00387D8F"/>
    <w:rsid w:val="00392595"/>
    <w:rsid w:val="003A0B7F"/>
    <w:rsid w:val="003A6ECB"/>
    <w:rsid w:val="003B0A35"/>
    <w:rsid w:val="003B162C"/>
    <w:rsid w:val="003D0E01"/>
    <w:rsid w:val="003F7A9D"/>
    <w:rsid w:val="004071F3"/>
    <w:rsid w:val="00412C77"/>
    <w:rsid w:val="00413532"/>
    <w:rsid w:val="00423BAA"/>
    <w:rsid w:val="0042556F"/>
    <w:rsid w:val="00434692"/>
    <w:rsid w:val="00451BDC"/>
    <w:rsid w:val="00454517"/>
    <w:rsid w:val="004553FD"/>
    <w:rsid w:val="0045624F"/>
    <w:rsid w:val="00456731"/>
    <w:rsid w:val="00464231"/>
    <w:rsid w:val="00477DE7"/>
    <w:rsid w:val="0048028A"/>
    <w:rsid w:val="004941C9"/>
    <w:rsid w:val="004C7592"/>
    <w:rsid w:val="004D543C"/>
    <w:rsid w:val="004E6332"/>
    <w:rsid w:val="004E6FB1"/>
    <w:rsid w:val="00504907"/>
    <w:rsid w:val="00516115"/>
    <w:rsid w:val="005214F8"/>
    <w:rsid w:val="005272E3"/>
    <w:rsid w:val="00534969"/>
    <w:rsid w:val="00551713"/>
    <w:rsid w:val="00563FC5"/>
    <w:rsid w:val="0058281F"/>
    <w:rsid w:val="005A104B"/>
    <w:rsid w:val="005C1AE8"/>
    <w:rsid w:val="005D3D47"/>
    <w:rsid w:val="005D7B34"/>
    <w:rsid w:val="005D7DC3"/>
    <w:rsid w:val="005F1BF6"/>
    <w:rsid w:val="00600A24"/>
    <w:rsid w:val="00601082"/>
    <w:rsid w:val="00607C80"/>
    <w:rsid w:val="00622EF5"/>
    <w:rsid w:val="00631EAB"/>
    <w:rsid w:val="00642A1B"/>
    <w:rsid w:val="006600D8"/>
    <w:rsid w:val="006679BE"/>
    <w:rsid w:val="006750E4"/>
    <w:rsid w:val="00690C19"/>
    <w:rsid w:val="00692579"/>
    <w:rsid w:val="00693A6B"/>
    <w:rsid w:val="006A6626"/>
    <w:rsid w:val="006C488D"/>
    <w:rsid w:val="006D7C01"/>
    <w:rsid w:val="006F4245"/>
    <w:rsid w:val="00727083"/>
    <w:rsid w:val="00741529"/>
    <w:rsid w:val="00745D7C"/>
    <w:rsid w:val="00751093"/>
    <w:rsid w:val="00752A26"/>
    <w:rsid w:val="00755B73"/>
    <w:rsid w:val="00757BCF"/>
    <w:rsid w:val="007600BF"/>
    <w:rsid w:val="00772B00"/>
    <w:rsid w:val="00780F8F"/>
    <w:rsid w:val="00783E4E"/>
    <w:rsid w:val="007A6176"/>
    <w:rsid w:val="007B07D8"/>
    <w:rsid w:val="007C1C57"/>
    <w:rsid w:val="007C3807"/>
    <w:rsid w:val="008065B7"/>
    <w:rsid w:val="00831272"/>
    <w:rsid w:val="008319DA"/>
    <w:rsid w:val="0084359E"/>
    <w:rsid w:val="00856534"/>
    <w:rsid w:val="00857EF3"/>
    <w:rsid w:val="00863B09"/>
    <w:rsid w:val="00870C78"/>
    <w:rsid w:val="008845FD"/>
    <w:rsid w:val="008973D1"/>
    <w:rsid w:val="008A2C6B"/>
    <w:rsid w:val="008C6A8F"/>
    <w:rsid w:val="008D6073"/>
    <w:rsid w:val="008E6AB7"/>
    <w:rsid w:val="008F3CEC"/>
    <w:rsid w:val="0090461D"/>
    <w:rsid w:val="009105B8"/>
    <w:rsid w:val="009120B1"/>
    <w:rsid w:val="009314B7"/>
    <w:rsid w:val="009345F1"/>
    <w:rsid w:val="00936F44"/>
    <w:rsid w:val="0098638B"/>
    <w:rsid w:val="00990018"/>
    <w:rsid w:val="009B0C69"/>
    <w:rsid w:val="009C42B6"/>
    <w:rsid w:val="009E7C40"/>
    <w:rsid w:val="009F4B97"/>
    <w:rsid w:val="00A055B6"/>
    <w:rsid w:val="00A10140"/>
    <w:rsid w:val="00A1362C"/>
    <w:rsid w:val="00A159DA"/>
    <w:rsid w:val="00A2351C"/>
    <w:rsid w:val="00A3044C"/>
    <w:rsid w:val="00A36138"/>
    <w:rsid w:val="00A6263E"/>
    <w:rsid w:val="00A67F35"/>
    <w:rsid w:val="00A8726F"/>
    <w:rsid w:val="00A90FE2"/>
    <w:rsid w:val="00A933E6"/>
    <w:rsid w:val="00AA2695"/>
    <w:rsid w:val="00AA7C19"/>
    <w:rsid w:val="00AD0919"/>
    <w:rsid w:val="00AE45A9"/>
    <w:rsid w:val="00AF0178"/>
    <w:rsid w:val="00AF5319"/>
    <w:rsid w:val="00B16CCC"/>
    <w:rsid w:val="00B17F0D"/>
    <w:rsid w:val="00B20562"/>
    <w:rsid w:val="00B31DB3"/>
    <w:rsid w:val="00B34D06"/>
    <w:rsid w:val="00B43983"/>
    <w:rsid w:val="00B47A6E"/>
    <w:rsid w:val="00B56621"/>
    <w:rsid w:val="00B6340D"/>
    <w:rsid w:val="00B66488"/>
    <w:rsid w:val="00B75F7B"/>
    <w:rsid w:val="00B77804"/>
    <w:rsid w:val="00B81D8A"/>
    <w:rsid w:val="00B83DD1"/>
    <w:rsid w:val="00B84394"/>
    <w:rsid w:val="00B977F4"/>
    <w:rsid w:val="00BA30FC"/>
    <w:rsid w:val="00BB0D18"/>
    <w:rsid w:val="00BB6503"/>
    <w:rsid w:val="00BC7FA1"/>
    <w:rsid w:val="00BE2695"/>
    <w:rsid w:val="00BE663F"/>
    <w:rsid w:val="00BE7FB1"/>
    <w:rsid w:val="00C3143C"/>
    <w:rsid w:val="00C373B2"/>
    <w:rsid w:val="00C42B91"/>
    <w:rsid w:val="00C52268"/>
    <w:rsid w:val="00C52B61"/>
    <w:rsid w:val="00C546C6"/>
    <w:rsid w:val="00C66063"/>
    <w:rsid w:val="00C73C38"/>
    <w:rsid w:val="00C94E1E"/>
    <w:rsid w:val="00CA6398"/>
    <w:rsid w:val="00CA73E2"/>
    <w:rsid w:val="00CA79EE"/>
    <w:rsid w:val="00CE3C32"/>
    <w:rsid w:val="00CF0E8B"/>
    <w:rsid w:val="00D21E46"/>
    <w:rsid w:val="00D548DD"/>
    <w:rsid w:val="00D947B0"/>
    <w:rsid w:val="00DA1E51"/>
    <w:rsid w:val="00DA36E9"/>
    <w:rsid w:val="00DC2DC3"/>
    <w:rsid w:val="00DD796C"/>
    <w:rsid w:val="00DE25B8"/>
    <w:rsid w:val="00DE5058"/>
    <w:rsid w:val="00DF4644"/>
    <w:rsid w:val="00DF6C80"/>
    <w:rsid w:val="00E02765"/>
    <w:rsid w:val="00E3108A"/>
    <w:rsid w:val="00E4355A"/>
    <w:rsid w:val="00E43D5D"/>
    <w:rsid w:val="00E53AB7"/>
    <w:rsid w:val="00E55E9B"/>
    <w:rsid w:val="00E5686E"/>
    <w:rsid w:val="00E65AAF"/>
    <w:rsid w:val="00E9185A"/>
    <w:rsid w:val="00E979B7"/>
    <w:rsid w:val="00EB4954"/>
    <w:rsid w:val="00EC5C7A"/>
    <w:rsid w:val="00EC635A"/>
    <w:rsid w:val="00ED70B3"/>
    <w:rsid w:val="00EE1457"/>
    <w:rsid w:val="00EE3D82"/>
    <w:rsid w:val="00EE7B3A"/>
    <w:rsid w:val="00F0257A"/>
    <w:rsid w:val="00F06623"/>
    <w:rsid w:val="00F3256A"/>
    <w:rsid w:val="00F36B26"/>
    <w:rsid w:val="00F41C54"/>
    <w:rsid w:val="00F50C32"/>
    <w:rsid w:val="00F56B4A"/>
    <w:rsid w:val="00F63BC4"/>
    <w:rsid w:val="00F64FC2"/>
    <w:rsid w:val="00F6520D"/>
    <w:rsid w:val="00F656DF"/>
    <w:rsid w:val="00F73A22"/>
    <w:rsid w:val="00F87417"/>
    <w:rsid w:val="00F87A22"/>
    <w:rsid w:val="00F91846"/>
    <w:rsid w:val="00F92C5A"/>
    <w:rsid w:val="00FB7785"/>
    <w:rsid w:val="00FC1739"/>
    <w:rsid w:val="00FC1B69"/>
    <w:rsid w:val="00FC4D00"/>
    <w:rsid w:val="00FD21CC"/>
    <w:rsid w:val="00FD2871"/>
    <w:rsid w:val="00FD60DB"/>
    <w:rsid w:val="00FD6C6F"/>
    <w:rsid w:val="00FF0552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711"/>
  <w15:chartTrackingRefBased/>
  <w15:docId w15:val="{743917D0-0BD5-4891-BDA6-7927ACE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1BC"/>
    <w:pPr>
      <w:ind w:left="720"/>
      <w:contextualSpacing/>
    </w:pPr>
  </w:style>
  <w:style w:type="table" w:styleId="Reetkatablice">
    <w:name w:val="Table Grid"/>
    <w:basedOn w:val="Obinatablica"/>
    <w:uiPriority w:val="39"/>
    <w:rsid w:val="005D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1896-5CDC-42B1-9348-696BF0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2025-02-03T08:18:00Z</cp:lastPrinted>
  <dcterms:created xsi:type="dcterms:W3CDTF">2025-07-25T07:48:00Z</dcterms:created>
  <dcterms:modified xsi:type="dcterms:W3CDTF">2025-07-25T07:48:00Z</dcterms:modified>
</cp:coreProperties>
</file>